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D42DE5" w:rsidR="00A209D6" w:rsidRPr="007438C6" w:rsidRDefault="00A209D6" w:rsidP="00DE76DD">
      <w:pPr>
        <w:pStyle w:val="Header"/>
        <w:tabs>
          <w:tab w:val="right" w:pos="9639"/>
        </w:tabs>
        <w:jc w:val="both"/>
        <w:rPr>
          <w:bCs/>
          <w:i/>
          <w:noProof w:val="0"/>
          <w:sz w:val="24"/>
          <w:szCs w:val="24"/>
        </w:rPr>
      </w:pPr>
      <w:r w:rsidRPr="007438C6">
        <w:rPr>
          <w:bCs/>
          <w:noProof w:val="0"/>
          <w:sz w:val="24"/>
          <w:szCs w:val="24"/>
        </w:rPr>
        <w:t>3GPP TSG-RAN WG2 Meeting #</w:t>
      </w:r>
      <w:r w:rsidR="0036459E" w:rsidRPr="007438C6">
        <w:rPr>
          <w:bCs/>
          <w:noProof w:val="0"/>
          <w:sz w:val="24"/>
          <w:szCs w:val="24"/>
        </w:rPr>
        <w:t>1</w:t>
      </w:r>
      <w:r w:rsidR="008B54E8" w:rsidRPr="007438C6">
        <w:rPr>
          <w:bCs/>
          <w:noProof w:val="0"/>
          <w:sz w:val="24"/>
          <w:szCs w:val="24"/>
        </w:rPr>
        <w:t>2</w:t>
      </w:r>
      <w:r w:rsidR="006E21CB">
        <w:rPr>
          <w:bCs/>
          <w:noProof w:val="0"/>
          <w:sz w:val="24"/>
          <w:szCs w:val="24"/>
        </w:rPr>
        <w:t>1</w:t>
      </w:r>
      <w:r w:rsidRPr="007438C6">
        <w:rPr>
          <w:bCs/>
          <w:noProof w:val="0"/>
          <w:sz w:val="24"/>
          <w:szCs w:val="24"/>
        </w:rPr>
        <w:tab/>
        <w:t>R2-</w:t>
      </w:r>
      <w:r w:rsidR="009376CD" w:rsidRPr="007438C6">
        <w:rPr>
          <w:bCs/>
          <w:noProof w:val="0"/>
          <w:sz w:val="24"/>
          <w:szCs w:val="24"/>
        </w:rPr>
        <w:t>2</w:t>
      </w:r>
      <w:r w:rsidR="006E21CB">
        <w:rPr>
          <w:bCs/>
          <w:noProof w:val="0"/>
          <w:sz w:val="24"/>
          <w:szCs w:val="24"/>
        </w:rPr>
        <w:t>3</w:t>
      </w:r>
      <w:r w:rsidR="006D45EF">
        <w:rPr>
          <w:bCs/>
          <w:noProof w:val="0"/>
          <w:sz w:val="24"/>
          <w:szCs w:val="24"/>
        </w:rPr>
        <w:t>00477</w:t>
      </w:r>
    </w:p>
    <w:p w14:paraId="11776FA6" w14:textId="44CD9C54" w:rsidR="00A209D6" w:rsidRPr="007438C6" w:rsidRDefault="006E21CB" w:rsidP="00DE76DD">
      <w:pPr>
        <w:pStyle w:val="Header"/>
        <w:tabs>
          <w:tab w:val="right" w:pos="9639"/>
        </w:tabs>
        <w:jc w:val="both"/>
        <w:rPr>
          <w:rFonts w:eastAsia="SimSun"/>
          <w:bCs/>
          <w:sz w:val="24"/>
          <w:szCs w:val="24"/>
          <w:lang w:eastAsia="zh-CN"/>
        </w:rPr>
      </w:pPr>
      <w:r>
        <w:rPr>
          <w:rFonts w:eastAsia="SimSun"/>
          <w:bCs/>
          <w:sz w:val="24"/>
          <w:szCs w:val="24"/>
          <w:lang w:eastAsia="zh-CN"/>
        </w:rPr>
        <w:t>Athens</w:t>
      </w:r>
      <w:r w:rsidR="008B54E8" w:rsidRPr="007438C6">
        <w:rPr>
          <w:rFonts w:eastAsia="SimSun"/>
          <w:bCs/>
          <w:sz w:val="24"/>
          <w:szCs w:val="24"/>
          <w:lang w:eastAsia="zh-CN"/>
        </w:rPr>
        <w:t xml:space="preserve">, </w:t>
      </w:r>
      <w:r>
        <w:rPr>
          <w:rFonts w:eastAsia="SimSun"/>
          <w:bCs/>
          <w:sz w:val="24"/>
          <w:szCs w:val="24"/>
          <w:lang w:eastAsia="zh-CN"/>
        </w:rPr>
        <w:t>Greece</w:t>
      </w:r>
      <w:r w:rsidR="00A36F5F" w:rsidRPr="007438C6">
        <w:rPr>
          <w:rFonts w:eastAsia="SimSun"/>
          <w:bCs/>
          <w:sz w:val="24"/>
          <w:szCs w:val="24"/>
          <w:lang w:eastAsia="zh-CN"/>
        </w:rPr>
        <w:t xml:space="preserve">, </w:t>
      </w:r>
      <w:r>
        <w:rPr>
          <w:rFonts w:eastAsia="SimSun"/>
          <w:bCs/>
          <w:sz w:val="24"/>
          <w:szCs w:val="24"/>
          <w:lang w:eastAsia="zh-CN"/>
        </w:rPr>
        <w:t>27</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w:t>
      </w:r>
      <w:r>
        <w:rPr>
          <w:rFonts w:eastAsia="SimSun"/>
          <w:bCs/>
          <w:sz w:val="24"/>
          <w:szCs w:val="24"/>
          <w:lang w:eastAsia="zh-CN"/>
        </w:rPr>
        <w:t xml:space="preserve">of Feb </w:t>
      </w:r>
      <w:r w:rsidR="005C7CD5" w:rsidRPr="007438C6">
        <w:rPr>
          <w:rFonts w:eastAsia="SimSun"/>
          <w:bCs/>
          <w:sz w:val="24"/>
          <w:szCs w:val="24"/>
          <w:lang w:eastAsia="zh-CN"/>
        </w:rPr>
        <w:t xml:space="preserve">– </w:t>
      </w:r>
      <w:r>
        <w:rPr>
          <w:rFonts w:eastAsia="SimSun"/>
          <w:bCs/>
          <w:sz w:val="24"/>
          <w:szCs w:val="24"/>
          <w:lang w:eastAsia="zh-CN"/>
        </w:rPr>
        <w:t>3</w:t>
      </w:r>
      <w:r w:rsidRPr="006E21CB">
        <w:rPr>
          <w:rFonts w:eastAsia="SimSun"/>
          <w:bCs/>
          <w:sz w:val="24"/>
          <w:szCs w:val="24"/>
          <w:vertAlign w:val="superscript"/>
          <w:lang w:eastAsia="zh-CN"/>
        </w:rPr>
        <w:t>rd</w:t>
      </w:r>
      <w:r>
        <w:rPr>
          <w:rFonts w:eastAsia="SimSun"/>
          <w:bCs/>
          <w:sz w:val="24"/>
          <w:szCs w:val="24"/>
          <w:lang w:eastAsia="zh-CN"/>
        </w:rPr>
        <w:t xml:space="preserve"> of Mar</w:t>
      </w:r>
      <w:r w:rsidR="005C7CD5" w:rsidRPr="007438C6">
        <w:rPr>
          <w:rFonts w:eastAsia="SimSun"/>
          <w:bCs/>
          <w:sz w:val="24"/>
          <w:szCs w:val="24"/>
          <w:lang w:eastAsia="zh-CN"/>
        </w:rPr>
        <w:t xml:space="preserve"> 202</w:t>
      </w:r>
      <w:r>
        <w:rPr>
          <w:rFonts w:eastAsia="SimSun"/>
          <w:bCs/>
          <w:sz w:val="24"/>
          <w:szCs w:val="24"/>
          <w:lang w:eastAsia="zh-CN"/>
        </w:rPr>
        <w:t>3</w:t>
      </w:r>
      <w:r w:rsidR="00A209D6" w:rsidRPr="007438C6">
        <w:rPr>
          <w:rFonts w:eastAsia="SimSun"/>
          <w:noProof w:val="0"/>
          <w:sz w:val="24"/>
          <w:szCs w:val="24"/>
          <w:lang w:eastAsia="zh-CN"/>
        </w:rPr>
        <w:tab/>
      </w:r>
      <w:r w:rsidRPr="006E21CB">
        <w:rPr>
          <w:rFonts w:eastAsia="SimSun"/>
          <w:noProof w:val="0"/>
          <w:sz w:val="16"/>
          <w:szCs w:val="16"/>
          <w:lang w:eastAsia="zh-CN"/>
        </w:rPr>
        <w:t>revision of R2-2212259</w:t>
      </w:r>
    </w:p>
    <w:p w14:paraId="2E02E5F5" w14:textId="77777777" w:rsidR="00A209D6" w:rsidRPr="007438C6" w:rsidRDefault="00A209D6" w:rsidP="00DE76DD">
      <w:pPr>
        <w:pStyle w:val="Header"/>
        <w:jc w:val="both"/>
        <w:rPr>
          <w:bCs/>
          <w:noProof w:val="0"/>
          <w:sz w:val="24"/>
        </w:rPr>
      </w:pPr>
    </w:p>
    <w:p w14:paraId="403CB9C0" w14:textId="77777777" w:rsidR="00A209D6" w:rsidRPr="007438C6" w:rsidRDefault="00A209D6" w:rsidP="00DE76DD">
      <w:pPr>
        <w:pStyle w:val="Header"/>
        <w:jc w:val="both"/>
        <w:rPr>
          <w:bCs/>
          <w:noProof w:val="0"/>
          <w:sz w:val="24"/>
        </w:rPr>
      </w:pPr>
    </w:p>
    <w:p w14:paraId="310B92C9" w14:textId="31980FBB" w:rsidR="00446C3A" w:rsidRPr="007438C6" w:rsidRDefault="00446C3A" w:rsidP="00DE76DD">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25571F" w:rsidRPr="007438C6">
        <w:rPr>
          <w:rFonts w:cs="Arial"/>
          <w:b/>
          <w:bCs/>
          <w:sz w:val="24"/>
          <w:lang w:eastAsia="ja-JP"/>
        </w:rPr>
        <w:t>8.</w:t>
      </w:r>
      <w:r w:rsidR="009603BA">
        <w:rPr>
          <w:rFonts w:cs="Arial"/>
          <w:b/>
          <w:bCs/>
          <w:sz w:val="24"/>
          <w:lang w:eastAsia="ja-JP"/>
        </w:rPr>
        <w:t>7.4.</w:t>
      </w:r>
      <w:r w:rsidR="0066304B">
        <w:rPr>
          <w:rFonts w:cs="Arial"/>
          <w:b/>
          <w:bCs/>
          <w:sz w:val="24"/>
          <w:lang w:eastAsia="ja-JP"/>
        </w:rPr>
        <w:t>2</w:t>
      </w:r>
    </w:p>
    <w:p w14:paraId="73188B46" w14:textId="77777777" w:rsidR="00446C3A" w:rsidRPr="007438C6" w:rsidRDefault="00446C3A" w:rsidP="00DE76DD">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6D679E75" w:rsidR="00446C3A" w:rsidRPr="007438C6" w:rsidRDefault="00446C3A" w:rsidP="00DE76DD">
      <w:pPr>
        <w:ind w:left="1985" w:hanging="1985"/>
        <w:jc w:val="both"/>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25571F" w:rsidRPr="007438C6">
        <w:rPr>
          <w:rFonts w:ascii="Arial" w:hAnsi="Arial" w:cs="Arial"/>
          <w:b/>
          <w:bCs/>
          <w:sz w:val="24"/>
        </w:rPr>
        <w:t xml:space="preserve">On </w:t>
      </w:r>
      <w:r w:rsidR="0066304B">
        <w:rPr>
          <w:rFonts w:ascii="Arial" w:hAnsi="Arial" w:cs="Arial"/>
          <w:b/>
          <w:bCs/>
          <w:sz w:val="24"/>
        </w:rPr>
        <w:t>Enhanced NTN C</w:t>
      </w:r>
      <w:r w:rsidR="009603BA">
        <w:rPr>
          <w:rFonts w:ascii="Arial" w:hAnsi="Arial" w:cs="Arial"/>
          <w:b/>
          <w:bCs/>
          <w:sz w:val="24"/>
        </w:rPr>
        <w:t>onnected</w:t>
      </w:r>
      <w:r w:rsidR="00B864CA">
        <w:rPr>
          <w:rFonts w:ascii="Arial" w:hAnsi="Arial" w:cs="Arial"/>
          <w:b/>
          <w:bCs/>
          <w:sz w:val="24"/>
        </w:rPr>
        <w:t>-</w:t>
      </w:r>
      <w:r w:rsidR="009603BA">
        <w:rPr>
          <w:rFonts w:ascii="Arial" w:hAnsi="Arial" w:cs="Arial"/>
          <w:b/>
          <w:bCs/>
          <w:sz w:val="24"/>
        </w:rPr>
        <w:t xml:space="preserve">mode </w:t>
      </w:r>
      <w:r w:rsidR="0066304B">
        <w:rPr>
          <w:rFonts w:ascii="Arial" w:hAnsi="Arial" w:cs="Arial"/>
          <w:b/>
          <w:bCs/>
          <w:sz w:val="24"/>
        </w:rPr>
        <w:t>M</w:t>
      </w:r>
      <w:r w:rsidR="009603BA">
        <w:rPr>
          <w:rFonts w:ascii="Arial" w:hAnsi="Arial" w:cs="Arial"/>
          <w:b/>
          <w:bCs/>
          <w:sz w:val="24"/>
        </w:rPr>
        <w:t xml:space="preserve">obility </w:t>
      </w:r>
      <w:r w:rsidR="0066304B">
        <w:rPr>
          <w:rFonts w:ascii="Arial" w:hAnsi="Arial" w:cs="Arial"/>
          <w:b/>
          <w:bCs/>
          <w:sz w:val="24"/>
        </w:rPr>
        <w:t>in</w:t>
      </w:r>
      <w:r w:rsidR="009603BA">
        <w:rPr>
          <w:rFonts w:ascii="Arial" w:hAnsi="Arial" w:cs="Arial"/>
          <w:b/>
          <w:bCs/>
          <w:sz w:val="24"/>
        </w:rPr>
        <w:t xml:space="preserve"> Rel-18</w:t>
      </w:r>
    </w:p>
    <w:p w14:paraId="25F387E8" w14:textId="30FD237C" w:rsidR="00446C3A" w:rsidRPr="007438C6" w:rsidRDefault="00446C3A" w:rsidP="00DE76DD">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9603BA" w:rsidRPr="009603BA">
        <w:rPr>
          <w:rFonts w:ascii="Arial" w:hAnsi="Arial" w:cs="Arial"/>
          <w:b/>
          <w:bCs/>
          <w:sz w:val="24"/>
        </w:rPr>
        <w:t>NR_NTN_enh</w:t>
      </w:r>
      <w:r w:rsidR="009603BA" w:rsidRPr="009603BA" w:rsidDel="009603BA">
        <w:rPr>
          <w:rFonts w:ascii="Arial" w:hAnsi="Arial" w:cs="Arial"/>
          <w:b/>
          <w:bCs/>
          <w:sz w:val="24"/>
        </w:rPr>
        <w:t xml:space="preserve">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DE76DD">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DE76DD">
      <w:pPr>
        <w:pStyle w:val="Heading1"/>
        <w:jc w:val="both"/>
      </w:pPr>
      <w:r w:rsidRPr="007438C6">
        <w:t>1</w:t>
      </w:r>
      <w:r w:rsidRPr="007438C6">
        <w:tab/>
        <w:t>Introduction</w:t>
      </w:r>
    </w:p>
    <w:p w14:paraId="69980D5F" w14:textId="223AE12A" w:rsidR="0025571F" w:rsidRPr="007438C6" w:rsidRDefault="0025571F" w:rsidP="00DE76DD">
      <w:pPr>
        <w:jc w:val="both"/>
      </w:pPr>
      <w:r w:rsidRPr="007438C6">
        <w:t xml:space="preserve">At RAN2#119bis (October 2022) the following </w:t>
      </w:r>
      <w:r w:rsidR="009603BA">
        <w:t>NTN</w:t>
      </w:r>
      <w:r w:rsidRPr="007438C6">
        <w:t>-related agreements</w:t>
      </w:r>
      <w:r w:rsidR="009603BA">
        <w:t xml:space="preserve"> on mobility</w:t>
      </w:r>
      <w:r w:rsidRPr="007438C6">
        <w:t xml:space="preserve"> have been made </w:t>
      </w:r>
      <w:r w:rsidRPr="007438C6">
        <w:fldChar w:fldCharType="begin"/>
      </w:r>
      <w:r w:rsidRPr="007438C6">
        <w:instrText xml:space="preserve"> REF _Ref117785152 \r \h </w:instrText>
      </w:r>
      <w:r w:rsidR="00DE76DD">
        <w:instrText xml:space="preserve"> \* MERGEFORMAT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21182A1B" w14:textId="3714051B" w:rsidR="009603BA" w:rsidRDefault="009603BA" w:rsidP="00DE76DD">
            <w:pPr>
              <w:pStyle w:val="Doc-text2"/>
              <w:ind w:left="0" w:firstLine="0"/>
              <w:jc w:val="both"/>
            </w:pPr>
            <w:r>
              <w:t>Agreements:</w:t>
            </w:r>
          </w:p>
          <w:p w14:paraId="1BD8A21E" w14:textId="77777777" w:rsidR="009603BA" w:rsidRDefault="009603BA" w:rsidP="00DE76DD">
            <w:pPr>
              <w:pStyle w:val="Doc-text2"/>
              <w:ind w:left="0" w:firstLine="0"/>
              <w:jc w:val="both"/>
            </w:pPr>
          </w:p>
          <w:p w14:paraId="423D30ED" w14:textId="63A9318E" w:rsidR="009603BA" w:rsidRDefault="009603BA" w:rsidP="00DE76DD">
            <w:pPr>
              <w:pStyle w:val="Doc-text2"/>
              <w:numPr>
                <w:ilvl w:val="0"/>
                <w:numId w:val="10"/>
              </w:numPr>
              <w:jc w:val="both"/>
            </w:pPr>
            <w:r>
              <w:t>RAN2 can further consider whether some information in the handover command that can be common to all UEs, can be delivered to UEs in common signalling and if there is real benefit (in terms of signalling overhead reduction) in this</w:t>
            </w:r>
          </w:p>
          <w:p w14:paraId="33FA8C9D" w14:textId="77777777" w:rsidR="009603BA" w:rsidRDefault="009603BA" w:rsidP="00DE76DD">
            <w:pPr>
              <w:pStyle w:val="Doc-text2"/>
              <w:ind w:left="0" w:firstLine="0"/>
              <w:jc w:val="both"/>
            </w:pPr>
          </w:p>
          <w:p w14:paraId="54994279" w14:textId="42190F57" w:rsidR="0025571F" w:rsidRDefault="009603BA" w:rsidP="00DE76DD">
            <w:pPr>
              <w:pStyle w:val="Doc-text2"/>
              <w:numPr>
                <w:ilvl w:val="0"/>
                <w:numId w:val="10"/>
              </w:numPr>
              <w:jc w:val="both"/>
            </w:pPr>
            <w:r>
              <w:t>Send an LS to RAN1 (cc RAN4) listing the scenarios (intra-satellite, inter-satellite with same or different feeder links) and check with RAN1 in which scenarios RACH-less is possible (with no indication of RAN2 preference)</w:t>
            </w:r>
          </w:p>
          <w:p w14:paraId="447AD397" w14:textId="77777777" w:rsidR="009603BA" w:rsidRDefault="009603BA" w:rsidP="00DE76DD">
            <w:pPr>
              <w:pStyle w:val="Doc-text2"/>
              <w:ind w:left="0" w:firstLine="0"/>
              <w:jc w:val="both"/>
            </w:pPr>
          </w:p>
          <w:p w14:paraId="0B3F38D0" w14:textId="766893B4" w:rsidR="009603BA" w:rsidRDefault="009603BA" w:rsidP="00DE76DD">
            <w:pPr>
              <w:pStyle w:val="Doc-text2"/>
              <w:numPr>
                <w:ilvl w:val="0"/>
                <w:numId w:val="10"/>
              </w:numPr>
              <w:jc w:val="both"/>
            </w:pPr>
            <w:r w:rsidRPr="009603BA">
              <w:t>Continue the discussion (in future meeting) on group HO / “UE specific pre-configuration of the target cell + group HO” indication in the next meeting, also on the possible real benefit</w:t>
            </w:r>
          </w:p>
          <w:p w14:paraId="469A663A" w14:textId="77777777" w:rsidR="009603BA" w:rsidRDefault="009603BA" w:rsidP="00DE76DD">
            <w:pPr>
              <w:pStyle w:val="Doc-text2"/>
              <w:ind w:left="0" w:firstLine="0"/>
              <w:jc w:val="both"/>
            </w:pPr>
          </w:p>
          <w:p w14:paraId="6740869C" w14:textId="77777777" w:rsidR="009603BA" w:rsidRDefault="009603BA" w:rsidP="00DE76DD">
            <w:pPr>
              <w:pStyle w:val="Doc-text2"/>
              <w:numPr>
                <w:ilvl w:val="0"/>
                <w:numId w:val="10"/>
              </w:numPr>
              <w:jc w:val="both"/>
            </w:pPr>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0A56AEE8" w14:textId="77777777" w:rsidR="009603BA" w:rsidRDefault="009603BA" w:rsidP="00DE76DD">
            <w:pPr>
              <w:pStyle w:val="Doc-text2"/>
              <w:ind w:left="0" w:firstLine="0"/>
              <w:jc w:val="both"/>
            </w:pPr>
          </w:p>
          <w:p w14:paraId="4EABE9DA" w14:textId="31790236" w:rsidR="009603BA" w:rsidRDefault="009603BA" w:rsidP="00DE76DD">
            <w:pPr>
              <w:pStyle w:val="Doc-text2"/>
              <w:numPr>
                <w:ilvl w:val="0"/>
                <w:numId w:val="10"/>
              </w:numPr>
              <w:jc w:val="both"/>
            </w:pPr>
            <w:r>
              <w:t xml:space="preserve">New Proposal 2: RAN2 continues the discussion (e.g. at RAN2#120) on the solution with keeping the same PCI after switching of the satellites. Clarify at least the following: </w:t>
            </w:r>
          </w:p>
          <w:p w14:paraId="343733C7" w14:textId="57AC8C62" w:rsidR="009603BA" w:rsidRDefault="009603BA" w:rsidP="00DE76DD">
            <w:pPr>
              <w:pStyle w:val="Doc-text2"/>
              <w:numPr>
                <w:ilvl w:val="1"/>
                <w:numId w:val="10"/>
              </w:numPr>
              <w:jc w:val="both"/>
            </w:pPr>
            <w:r>
              <w:t>RAN1 impact</w:t>
            </w:r>
          </w:p>
          <w:p w14:paraId="4C6580B8" w14:textId="77777777" w:rsidR="009603BA" w:rsidRDefault="009603BA" w:rsidP="00DE76DD">
            <w:pPr>
              <w:pStyle w:val="Doc-text2"/>
              <w:numPr>
                <w:ilvl w:val="1"/>
                <w:numId w:val="10"/>
              </w:numPr>
              <w:jc w:val="both"/>
            </w:pPr>
            <w:r>
              <w:t xml:space="preserve">The need to perform UL beam switching and/or RA </w:t>
            </w:r>
          </w:p>
          <w:p w14:paraId="718D0215" w14:textId="660F7039" w:rsidR="009603BA" w:rsidRPr="007438C6" w:rsidRDefault="009603BA" w:rsidP="00DE76DD">
            <w:pPr>
              <w:pStyle w:val="Doc-text2"/>
              <w:numPr>
                <w:ilvl w:val="1"/>
                <w:numId w:val="10"/>
              </w:numPr>
              <w:jc w:val="both"/>
            </w:pPr>
            <w:r>
              <w:t>Applicability to hard or soft satellite switching</w:t>
            </w:r>
          </w:p>
        </w:tc>
      </w:tr>
    </w:tbl>
    <w:p w14:paraId="7B6E3803" w14:textId="47DCD80E" w:rsidR="0072775B" w:rsidRDefault="0025571F" w:rsidP="00DE76DD">
      <w:pPr>
        <w:jc w:val="both"/>
      </w:pPr>
      <w:r w:rsidRPr="007438C6">
        <w:br/>
      </w:r>
      <w:r w:rsidR="0072775B">
        <w:t xml:space="preserve">The topic was not discussed during RAN2#120 (November 2022). In the </w:t>
      </w:r>
      <w:r w:rsidR="00C75241">
        <w:t>meantime, RAN1 has also responded to RAN2 LS asking about the feasibility of RACH-less in NTN</w:t>
      </w:r>
      <w:r w:rsidR="00785F71">
        <w:t xml:space="preserve"> </w:t>
      </w:r>
      <w:r w:rsidR="00785F71">
        <w:fldChar w:fldCharType="begin"/>
      </w:r>
      <w:r w:rsidR="00785F71">
        <w:instrText xml:space="preserve"> REF _Ref126322789 \r \h </w:instrText>
      </w:r>
      <w:r w:rsidR="00DE76DD">
        <w:instrText xml:space="preserve"> \* MERGEFORMAT </w:instrText>
      </w:r>
      <w:r w:rsidR="00785F71">
        <w:fldChar w:fldCharType="separate"/>
      </w:r>
      <w:r w:rsidR="00785F71">
        <w:t>[5]</w:t>
      </w:r>
      <w:r w:rsidR="00785F71">
        <w:fldChar w:fldCharType="end"/>
      </w:r>
      <w:r w:rsidR="00C75241">
        <w:t>.</w:t>
      </w:r>
    </w:p>
    <w:p w14:paraId="4854EE57" w14:textId="7E597C14" w:rsidR="009339CB" w:rsidRPr="007438C6" w:rsidRDefault="0025571F" w:rsidP="00DE76DD">
      <w:pPr>
        <w:jc w:val="both"/>
      </w:pPr>
      <w:r w:rsidRPr="007438C6">
        <w:t xml:space="preserve">In this paper we </w:t>
      </w:r>
      <w:r w:rsidR="00AD71E1">
        <w:t>provide our further thoughts on the topics identified during RAN2</w:t>
      </w:r>
      <w:r w:rsidR="00AD71E1" w:rsidRPr="00AD71E1">
        <w:t>#1</w:t>
      </w:r>
      <w:r w:rsidR="00AD71E1">
        <w:t>19bis as relevant for Rel-18 NTN mobility discussion.</w:t>
      </w:r>
      <w:r w:rsidR="00C75241">
        <w:t xml:space="preserve"> We also </w:t>
      </w:r>
      <w:r w:rsidR="00785F71">
        <w:t>share our opinions</w:t>
      </w:r>
      <w:r w:rsidR="00C75241">
        <w:t xml:space="preserve"> on RACH-less in NTN.</w:t>
      </w:r>
      <w:r w:rsidR="00AD71E1">
        <w:t xml:space="preserve"> Idle-mode related aspects are described in our other paper </w:t>
      </w:r>
      <w:r w:rsidR="00297217">
        <w:fldChar w:fldCharType="begin"/>
      </w:r>
      <w:r w:rsidR="00297217">
        <w:instrText xml:space="preserve"> REF _Ref117872520 \r \h </w:instrText>
      </w:r>
      <w:r w:rsidR="00DE76DD">
        <w:instrText xml:space="preserve"> \* MERGEFORMAT </w:instrText>
      </w:r>
      <w:r w:rsidR="00297217">
        <w:fldChar w:fldCharType="separate"/>
      </w:r>
      <w:r w:rsidR="00297217">
        <w:t>[2]</w:t>
      </w:r>
      <w:r w:rsidR="00297217">
        <w:fldChar w:fldCharType="end"/>
      </w:r>
      <w:r w:rsidR="00D85034">
        <w:t>.</w:t>
      </w:r>
    </w:p>
    <w:p w14:paraId="7D484B6E" w14:textId="4A11C848" w:rsidR="009339CB" w:rsidRPr="007438C6" w:rsidRDefault="009339CB" w:rsidP="00DE76DD">
      <w:pPr>
        <w:pStyle w:val="Heading1"/>
        <w:jc w:val="both"/>
      </w:pPr>
      <w:r w:rsidRPr="007438C6">
        <w:t>2</w:t>
      </w:r>
      <w:r w:rsidRPr="007438C6">
        <w:tab/>
      </w:r>
      <w:r w:rsidR="00987265" w:rsidRPr="007438C6">
        <w:t>Discussion</w:t>
      </w:r>
    </w:p>
    <w:p w14:paraId="5982B445" w14:textId="67AE5E43" w:rsidR="009339CB" w:rsidRPr="007438C6" w:rsidRDefault="009339CB" w:rsidP="00DE76DD">
      <w:pPr>
        <w:pStyle w:val="Heading2"/>
        <w:jc w:val="both"/>
      </w:pPr>
      <w:r w:rsidRPr="007438C6">
        <w:t>2.1</w:t>
      </w:r>
      <w:r w:rsidRPr="007438C6">
        <w:tab/>
      </w:r>
      <w:r w:rsidR="00297217">
        <w:t>Chain of CHOs</w:t>
      </w:r>
      <w:r w:rsidR="00D85034">
        <w:t xml:space="preserve"> </w:t>
      </w:r>
    </w:p>
    <w:p w14:paraId="175CEE1E" w14:textId="26DC06FA" w:rsidR="009339CB" w:rsidRDefault="00297217" w:rsidP="00DE76DD">
      <w:pPr>
        <w:jc w:val="both"/>
      </w:pPr>
      <w:r>
        <w:t>At RAN2#119bis</w:t>
      </w:r>
      <w:r w:rsidR="00342481">
        <w:t xml:space="preserve"> it was discussed if the scheme, where the UE can be provided with CHO configurations for more than just the next HO, shall be supported in Rel-18 NTN. This has been described in our previous TDoc </w:t>
      </w:r>
      <w:r w:rsidR="00FE084B">
        <w:fldChar w:fldCharType="begin"/>
      </w:r>
      <w:r w:rsidR="00FE084B">
        <w:instrText xml:space="preserve"> REF _Ref118098649 \r \h </w:instrText>
      </w:r>
      <w:r w:rsidR="00B976AB">
        <w:instrText xml:space="preserve"> \* MERGEFORMAT </w:instrText>
      </w:r>
      <w:r w:rsidR="00FE084B">
        <w:fldChar w:fldCharType="separate"/>
      </w:r>
      <w:r w:rsidR="00FE084B">
        <w:t>[3]</w:t>
      </w:r>
      <w:r w:rsidR="00FE084B">
        <w:fldChar w:fldCharType="end"/>
      </w:r>
      <w:r w:rsidR="00342481">
        <w:t xml:space="preserve">, see section </w:t>
      </w:r>
      <w:r w:rsidR="0088318D">
        <w:t>3.1</w:t>
      </w:r>
      <w:r w:rsidR="00342481">
        <w:t>.</w:t>
      </w:r>
      <w:r w:rsidR="00320F70">
        <w:t xml:space="preserve"> As i</w:t>
      </w:r>
      <w:r w:rsidR="00320F70" w:rsidRPr="008A4763">
        <w:t>n NTN</w:t>
      </w:r>
      <w:r w:rsidR="00320F70">
        <w:t>, at least for Earth-moving scenario</w:t>
      </w:r>
      <w:r w:rsidR="00E23684">
        <w:t>,</w:t>
      </w:r>
      <w:r w:rsidR="00320F70" w:rsidRPr="008A4763">
        <w:t xml:space="preserve"> the sequence of next serving cells can be predicted with high probability (assuming the UE does not move significantly, compared to the satellite coverage), we see value in preparing the UE for multiple cell hops in advance</w:t>
      </w:r>
      <w:r w:rsidR="00E23684">
        <w:t xml:space="preserve">. This has been also confirmed </w:t>
      </w:r>
      <w:r w:rsidR="004F633B">
        <w:t>during RAN</w:t>
      </w:r>
      <w:r w:rsidR="004F633B" w:rsidRPr="004F633B">
        <w:t>2#119b</w:t>
      </w:r>
      <w:r w:rsidR="004F633B">
        <w:t>is: “</w:t>
      </w:r>
      <w:r w:rsidR="004F633B" w:rsidRPr="00493ABD">
        <w:rPr>
          <w:i/>
          <w:iCs/>
        </w:rPr>
        <w:t xml:space="preserve">RAN2 confirms that at least for the moving cell case the next serving cells can be largely predicted in NTN (at least for UEs not at the cell edge) thanks to </w:t>
      </w:r>
      <w:r w:rsidR="004F633B" w:rsidRPr="00493ABD">
        <w:rPr>
          <w:i/>
          <w:iCs/>
        </w:rPr>
        <w:lastRenderedPageBreak/>
        <w:t>the existence of predefined satellite orbits and negligible UE’s mobility in comparison to satellite’s motion (we can further discuss at the next meeting whether this applies to idle mode UEs as well)</w:t>
      </w:r>
      <w:r w:rsidR="004F633B">
        <w:t>”</w:t>
      </w:r>
      <w:r w:rsidR="00664A20">
        <w:t xml:space="preserve">. </w:t>
      </w:r>
      <w:r w:rsidR="00F52821">
        <w:t xml:space="preserve">It would be beneficial to check if the observation made at RAN2#119bis can be used somehow to improve the </w:t>
      </w:r>
      <w:r w:rsidR="00F907F2">
        <w:t xml:space="preserve">connected-mode or idle-mode </w:t>
      </w:r>
      <w:r w:rsidR="00F52821">
        <w:t xml:space="preserve">mobility in </w:t>
      </w:r>
      <w:r w:rsidR="001B549A">
        <w:t xml:space="preserve">NTN </w:t>
      </w:r>
      <w:r w:rsidR="00F52821">
        <w:t>EMC</w:t>
      </w:r>
      <w:r w:rsidR="001B549A">
        <w:t>.</w:t>
      </w:r>
    </w:p>
    <w:p w14:paraId="6F59C7D7" w14:textId="61FB0237" w:rsidR="001B549A" w:rsidRPr="006513E9" w:rsidRDefault="001B549A" w:rsidP="00DE76DD">
      <w:pPr>
        <w:jc w:val="both"/>
        <w:rPr>
          <w:b/>
          <w:bCs/>
        </w:rPr>
      </w:pPr>
      <w:r w:rsidRPr="006513E9">
        <w:rPr>
          <w:b/>
          <w:bCs/>
        </w:rPr>
        <w:t xml:space="preserve">Proposal 1: RAN2 is asked to study if </w:t>
      </w:r>
      <w:r w:rsidR="00413F54">
        <w:rPr>
          <w:b/>
          <w:bCs/>
        </w:rPr>
        <w:t xml:space="preserve">the </w:t>
      </w:r>
      <w:r w:rsidRPr="006513E9">
        <w:rPr>
          <w:b/>
          <w:bCs/>
        </w:rPr>
        <w:t>fa</w:t>
      </w:r>
      <w:r w:rsidR="00B948A7">
        <w:rPr>
          <w:b/>
          <w:bCs/>
        </w:rPr>
        <w:t>ct</w:t>
      </w:r>
      <w:r w:rsidRPr="006513E9">
        <w:rPr>
          <w:b/>
          <w:bCs/>
        </w:rPr>
        <w:t xml:space="preserve"> that </w:t>
      </w:r>
      <w:r w:rsidR="006D6A69">
        <w:rPr>
          <w:b/>
          <w:bCs/>
        </w:rPr>
        <w:t xml:space="preserve">the </w:t>
      </w:r>
      <w:r w:rsidRPr="006513E9">
        <w:rPr>
          <w:b/>
          <w:bCs/>
        </w:rPr>
        <w:t>next serving cells can be largely predicted in NTN Earth-moving scenario</w:t>
      </w:r>
      <w:r w:rsidR="0095051C" w:rsidRPr="006513E9">
        <w:rPr>
          <w:b/>
          <w:bCs/>
        </w:rPr>
        <w:t xml:space="preserve"> can be </w:t>
      </w:r>
      <w:r w:rsidR="006513E9" w:rsidRPr="006513E9">
        <w:rPr>
          <w:b/>
          <w:bCs/>
        </w:rPr>
        <w:t>used to improve the mobility performance – for both the network and the UEs.</w:t>
      </w:r>
    </w:p>
    <w:p w14:paraId="0B1824B0" w14:textId="49FA1A27" w:rsidR="00431A6C" w:rsidRDefault="00924DB8" w:rsidP="00DE76DD">
      <w:pPr>
        <w:jc w:val="both"/>
      </w:pPr>
      <w:r>
        <w:t>One of the most</w:t>
      </w:r>
      <w:r w:rsidR="008D41AD">
        <w:t xml:space="preserve"> challenging aspects of NTN mobility is temporary coverage. As shown in </w:t>
      </w:r>
      <w:r w:rsidR="00097281">
        <w:fldChar w:fldCharType="begin"/>
      </w:r>
      <w:r w:rsidR="00097281">
        <w:instrText xml:space="preserve"> REF _Ref118101565 \r \h </w:instrText>
      </w:r>
      <w:r w:rsidR="00DE76DD">
        <w:instrText xml:space="preserve"> \* MERGEFORMAT </w:instrText>
      </w:r>
      <w:r w:rsidR="00097281">
        <w:fldChar w:fldCharType="separate"/>
      </w:r>
      <w:r w:rsidR="00097281">
        <w:t>[4]</w:t>
      </w:r>
      <w:r w:rsidR="00097281">
        <w:fldChar w:fldCharType="end"/>
      </w:r>
      <w:r w:rsidR="008D41AD">
        <w:t xml:space="preserve">, </w:t>
      </w:r>
      <w:r w:rsidR="00B477B0">
        <w:t>the average time of stay in the NTN LEO</w:t>
      </w:r>
      <w:r w:rsidR="00840C07">
        <w:t xml:space="preserve"> cell</w:t>
      </w:r>
      <w:r w:rsidR="002561FE">
        <w:t xml:space="preserve"> in EMC</w:t>
      </w:r>
      <w:r w:rsidR="00840C07">
        <w:t xml:space="preserve"> is 5 second</w:t>
      </w:r>
      <w:r w:rsidR="00CE2C24">
        <w:t>s</w:t>
      </w:r>
      <w:r w:rsidR="00431A6C">
        <w:t>, despite large footprint of NTN cells. Thus, every few seconds there is a need to provide the UE with HO command.</w:t>
      </w:r>
    </w:p>
    <w:p w14:paraId="606F5E85" w14:textId="5B44650D" w:rsidR="00431A6C" w:rsidRPr="00C1387B" w:rsidRDefault="00431A6C" w:rsidP="00DE76DD">
      <w:pPr>
        <w:jc w:val="both"/>
        <w:rPr>
          <w:b/>
          <w:bCs/>
        </w:rPr>
      </w:pPr>
      <w:r w:rsidRPr="00C1387B">
        <w:rPr>
          <w:b/>
          <w:bCs/>
        </w:rPr>
        <w:t xml:space="preserve">Observation 1: </w:t>
      </w:r>
      <w:r w:rsidR="0055549A" w:rsidRPr="00C1387B">
        <w:rPr>
          <w:b/>
          <w:bCs/>
        </w:rPr>
        <w:t xml:space="preserve">In EMC (NTN LEO scenario) the UE is </w:t>
      </w:r>
      <w:r w:rsidR="001129A3" w:rsidRPr="00C1387B">
        <w:rPr>
          <w:b/>
          <w:bCs/>
        </w:rPr>
        <w:t xml:space="preserve">commanded to perform HO </w:t>
      </w:r>
      <w:r w:rsidR="00C1387B" w:rsidRPr="00C1387B">
        <w:rPr>
          <w:b/>
          <w:bCs/>
        </w:rPr>
        <w:t>approximately every 5 seconds</w:t>
      </w:r>
      <w:r w:rsidR="00354783">
        <w:rPr>
          <w:b/>
          <w:bCs/>
        </w:rPr>
        <w:t xml:space="preserve"> if the cell diameter is approximately 50 km. For smaller cells the </w:t>
      </w:r>
      <w:r w:rsidR="00AA1287">
        <w:rPr>
          <w:b/>
          <w:bCs/>
        </w:rPr>
        <w:t>rate could go down to even 2.5 s</w:t>
      </w:r>
      <w:r w:rsidR="00C1387B" w:rsidRPr="00C1387B">
        <w:rPr>
          <w:b/>
          <w:bCs/>
        </w:rPr>
        <w:t>.</w:t>
      </w:r>
    </w:p>
    <w:p w14:paraId="3F23AF34" w14:textId="3F8575DF" w:rsidR="00896D90" w:rsidRDefault="00C1387B" w:rsidP="00DE76DD">
      <w:pPr>
        <w:jc w:val="both"/>
      </w:pPr>
      <w:r>
        <w:t>The problem of reaching the UE with HO command on-time is perhaps not as severe as it would be in small cells for demanding use cases, such as high-speed train. However</w:t>
      </w:r>
      <w:r w:rsidR="00782F2B">
        <w:t xml:space="preserve">, sending HO command to multiple UEs in the cell, every </w:t>
      </w:r>
      <w:r w:rsidR="00D136F7">
        <w:t>2.</w:t>
      </w:r>
      <w:r w:rsidR="00782F2B">
        <w:t>5 seconds</w:t>
      </w:r>
      <w:r w:rsidR="000E4A99">
        <w:t>,</w:t>
      </w:r>
      <w:r w:rsidR="00782F2B">
        <w:t xml:space="preserve"> </w:t>
      </w:r>
      <w:r w:rsidR="00124030">
        <w:t xml:space="preserve">also </w:t>
      </w:r>
      <w:r w:rsidR="00782F2B">
        <w:t>r</w:t>
      </w:r>
      <w:r w:rsidR="00D31CB6">
        <w:t>esults</w:t>
      </w:r>
      <w:r w:rsidR="00782F2B">
        <w:t xml:space="preserve"> </w:t>
      </w:r>
      <w:r w:rsidR="00D31CB6">
        <w:t>in</w:t>
      </w:r>
      <w:r w:rsidR="00782F2B">
        <w:t xml:space="preserve"> </w:t>
      </w:r>
      <w:r w:rsidR="00D31CB6">
        <w:t>certain signalling overhead and the possibility of not commanding the UE before it loses the source cell link</w:t>
      </w:r>
      <w:r>
        <w:t>.</w:t>
      </w:r>
      <w:r w:rsidR="00D31CB6">
        <w:t xml:space="preserve"> </w:t>
      </w:r>
      <w:r w:rsidR="00896D90">
        <w:t>In NTN scenario</w:t>
      </w:r>
      <w:r w:rsidR="00124030">
        <w:t>, though,</w:t>
      </w:r>
      <w:r w:rsidR="00896D90">
        <w:t xml:space="preserve"> this problem can be mitigated as the next serving cells are known in advance (as confirmed at RAN2#119bis).</w:t>
      </w:r>
    </w:p>
    <w:p w14:paraId="205B2C8D" w14:textId="681DCDFE" w:rsidR="0006651B" w:rsidRPr="004D73D3" w:rsidRDefault="00FE4C50" w:rsidP="00DE76DD">
      <w:pPr>
        <w:jc w:val="both"/>
        <w:rPr>
          <w:b/>
          <w:bCs/>
        </w:rPr>
      </w:pPr>
      <w:r w:rsidRPr="004D73D3">
        <w:rPr>
          <w:b/>
          <w:bCs/>
        </w:rPr>
        <w:t xml:space="preserve">Observation 2: </w:t>
      </w:r>
      <w:r w:rsidR="00DB1CE4" w:rsidRPr="004D73D3">
        <w:rPr>
          <w:b/>
          <w:bCs/>
        </w:rPr>
        <w:t>In NTN LEO sending a HO command to the UE</w:t>
      </w:r>
      <w:r w:rsidR="00F84501" w:rsidRPr="004D73D3">
        <w:rPr>
          <w:b/>
          <w:bCs/>
        </w:rPr>
        <w:t xml:space="preserve"> every ~</w:t>
      </w:r>
      <w:r w:rsidR="00A01FB1">
        <w:rPr>
          <w:b/>
          <w:bCs/>
        </w:rPr>
        <w:t>2.</w:t>
      </w:r>
      <w:r w:rsidR="00F84501" w:rsidRPr="004D73D3">
        <w:rPr>
          <w:b/>
          <w:bCs/>
        </w:rPr>
        <w:t>5 seconds</w:t>
      </w:r>
      <w:r w:rsidR="00DB1CE4" w:rsidRPr="004D73D3">
        <w:rPr>
          <w:b/>
          <w:bCs/>
        </w:rPr>
        <w:t xml:space="preserve"> can be avoided</w:t>
      </w:r>
      <w:r w:rsidR="00F84501" w:rsidRPr="004D73D3">
        <w:rPr>
          <w:b/>
          <w:bCs/>
        </w:rPr>
        <w:t xml:space="preserve"> if </w:t>
      </w:r>
      <w:r w:rsidR="00942AF8" w:rsidRPr="004D73D3">
        <w:rPr>
          <w:b/>
          <w:bCs/>
        </w:rPr>
        <w:t xml:space="preserve">the UE is prepared in advance </w:t>
      </w:r>
      <w:r w:rsidR="0006651B" w:rsidRPr="004D73D3">
        <w:rPr>
          <w:b/>
          <w:bCs/>
        </w:rPr>
        <w:t>with CHO configurations for cells beyond the next cell change.</w:t>
      </w:r>
    </w:p>
    <w:p w14:paraId="0595BD8E" w14:textId="2111266B" w:rsidR="006513E9" w:rsidRDefault="00C3063B" w:rsidP="00DE76DD">
      <w:pPr>
        <w:jc w:val="both"/>
      </w:pPr>
      <w:r>
        <w:t xml:space="preserve">At RAN2#119bis there were opinions stating there is no gain anyway, as the UE obtains all those configurations </w:t>
      </w:r>
      <w:r w:rsidR="00AF72C6">
        <w:t xml:space="preserve">via RRC signalling, so signalling load is modified – from being distributed almost equally among the </w:t>
      </w:r>
      <w:r w:rsidR="004D73D3">
        <w:t xml:space="preserve">set of serving </w:t>
      </w:r>
      <w:r w:rsidR="00AF72C6">
        <w:t>cells</w:t>
      </w:r>
      <w:r w:rsidR="004D73D3">
        <w:t xml:space="preserve"> to </w:t>
      </w:r>
      <w:r w:rsidR="00D21865">
        <w:t xml:space="preserve">being </w:t>
      </w:r>
      <w:r w:rsidR="00347760">
        <w:t xml:space="preserve">associated with </w:t>
      </w:r>
      <w:r w:rsidR="004D73D3">
        <w:t>the first initiating cell that configures the UE with a series of CHO.</w:t>
      </w:r>
      <w:r w:rsidR="00347760">
        <w:t xml:space="preserve"> This shift will occur, that is true. However, the configuration does not need to be excessive and delta signalling can be applied.</w:t>
      </w:r>
    </w:p>
    <w:p w14:paraId="03037900" w14:textId="7AD8E165" w:rsidR="00347760" w:rsidRPr="00347760" w:rsidRDefault="00347760" w:rsidP="00DE76DD">
      <w:pPr>
        <w:jc w:val="both"/>
        <w:rPr>
          <w:b/>
          <w:bCs/>
        </w:rPr>
      </w:pPr>
      <w:r w:rsidRPr="00347760">
        <w:rPr>
          <w:b/>
          <w:bCs/>
        </w:rPr>
        <w:t>Observation 3: Delta configuration can be used to provide subsequent CHO configurations, to signalling overhead in the initiating serving cell does not have to be excessive.</w:t>
      </w:r>
    </w:p>
    <w:p w14:paraId="74F7E0EF" w14:textId="1ACA32FF" w:rsidR="00347760" w:rsidRDefault="00C308F6" w:rsidP="00DE76DD">
      <w:pPr>
        <w:jc w:val="both"/>
      </w:pPr>
      <w:r>
        <w:t>There were also concerns raised at RAN2#119bis that resources will be reserved at the NW side unnecessarily long.</w:t>
      </w:r>
      <w:r w:rsidR="00271BAD">
        <w:t xml:space="preserve"> This is true, but only if the reservations occur for all cells at the time of preparation. However, as the average time of stay in the cell can be </w:t>
      </w:r>
      <w:r w:rsidR="0062052B">
        <w:t>estimated</w:t>
      </w:r>
      <w:r w:rsidR="00271BAD">
        <w:t xml:space="preserve"> (as we have argued above and as it was </w:t>
      </w:r>
      <w:r w:rsidR="00E028F6">
        <w:t xml:space="preserve">described in </w:t>
      </w:r>
      <w:r w:rsidR="00E028F6">
        <w:fldChar w:fldCharType="begin"/>
      </w:r>
      <w:r w:rsidR="00E028F6">
        <w:instrText xml:space="preserve"> REF _Ref118101565 \r \h </w:instrText>
      </w:r>
      <w:r w:rsidR="00DE76DD">
        <w:instrText xml:space="preserve"> \* MERGEFORMAT </w:instrText>
      </w:r>
      <w:r w:rsidR="00E028F6">
        <w:fldChar w:fldCharType="separate"/>
      </w:r>
      <w:r w:rsidR="00E028F6">
        <w:t>[4]</w:t>
      </w:r>
      <w:r w:rsidR="00E028F6">
        <w:fldChar w:fldCharType="end"/>
      </w:r>
      <w:r w:rsidR="00E028F6">
        <w:t xml:space="preserve">), </w:t>
      </w:r>
      <w:r w:rsidR="0062052B">
        <w:t>it can be predicted since when the resources are needed in particular cell for a particular UE.</w:t>
      </w:r>
    </w:p>
    <w:p w14:paraId="6801A236" w14:textId="4ACB80C9" w:rsidR="00C308F6" w:rsidRPr="00213247" w:rsidRDefault="00CC3B37" w:rsidP="00DE76DD">
      <w:pPr>
        <w:jc w:val="both"/>
        <w:rPr>
          <w:b/>
          <w:bCs/>
        </w:rPr>
      </w:pPr>
      <w:r w:rsidRPr="00213247">
        <w:rPr>
          <w:b/>
          <w:bCs/>
        </w:rPr>
        <w:t xml:space="preserve">Observation 4: </w:t>
      </w:r>
      <w:r w:rsidR="005030B4" w:rsidRPr="00213247">
        <w:rPr>
          <w:b/>
          <w:bCs/>
        </w:rPr>
        <w:t>A</w:t>
      </w:r>
      <w:r w:rsidRPr="00213247">
        <w:rPr>
          <w:b/>
          <w:bCs/>
        </w:rPr>
        <w:t xml:space="preserve">s the average time of stay in the cell can be estimated </w:t>
      </w:r>
      <w:r w:rsidR="00213247" w:rsidRPr="00213247">
        <w:rPr>
          <w:b/>
          <w:bCs/>
        </w:rPr>
        <w:t>in NTN EMC,</w:t>
      </w:r>
      <w:r w:rsidRPr="00213247">
        <w:rPr>
          <w:b/>
          <w:bCs/>
        </w:rPr>
        <w:t xml:space="preserve"> it can be predicted since when the resources are needed in particular cell for a particular UE</w:t>
      </w:r>
      <w:r w:rsidR="00213247" w:rsidRPr="00213247">
        <w:rPr>
          <w:b/>
          <w:bCs/>
        </w:rPr>
        <w:t>.</w:t>
      </w:r>
    </w:p>
    <w:p w14:paraId="0DCD050A" w14:textId="13D229EF" w:rsidR="00CC3B37" w:rsidRDefault="00213247" w:rsidP="00DE76DD">
      <w:pPr>
        <w:jc w:val="both"/>
      </w:pPr>
      <w:r>
        <w:t xml:space="preserve">Thus, based on the </w:t>
      </w:r>
      <w:r w:rsidR="00F37A8B">
        <w:t xml:space="preserve">justification brought above, we suggest </w:t>
      </w:r>
      <w:r w:rsidR="00A01FB1">
        <w:t>supporting</w:t>
      </w:r>
      <w:r w:rsidR="00F37A8B">
        <w:t xml:space="preserve"> the scheme where the </w:t>
      </w:r>
      <w:r w:rsidR="00F710EB" w:rsidRPr="00F710EB">
        <w:t>UE can be provided with CHO configurations for cells beyond the next cell change (future candidate cells)</w:t>
      </w:r>
      <w:r w:rsidR="00F710EB">
        <w:t>.</w:t>
      </w:r>
    </w:p>
    <w:p w14:paraId="0A36A1EB" w14:textId="2C10CD54" w:rsidR="00F710EB" w:rsidRPr="00F266F3" w:rsidRDefault="00F710EB" w:rsidP="00DE76DD">
      <w:pPr>
        <w:jc w:val="both"/>
        <w:rPr>
          <w:b/>
          <w:bCs/>
        </w:rPr>
      </w:pPr>
      <w:r w:rsidRPr="00F266F3">
        <w:rPr>
          <w:b/>
          <w:bCs/>
        </w:rPr>
        <w:t xml:space="preserve">Proposal 2: RAN2 is asked to study </w:t>
      </w:r>
      <w:r w:rsidR="00F266F3" w:rsidRPr="00F266F3">
        <w:rPr>
          <w:b/>
          <w:bCs/>
        </w:rPr>
        <w:t>how t</w:t>
      </w:r>
      <w:r w:rsidRPr="00F266F3">
        <w:rPr>
          <w:b/>
          <w:bCs/>
        </w:rPr>
        <w:t>he UE can be provided with CHO configurations for cells beyond the next cell change (future candidate cells)</w:t>
      </w:r>
      <w:r w:rsidR="00F266F3" w:rsidRPr="00F266F3">
        <w:rPr>
          <w:b/>
          <w:bCs/>
        </w:rPr>
        <w:t>.</w:t>
      </w:r>
    </w:p>
    <w:p w14:paraId="6327A5E6" w14:textId="3805365D" w:rsidR="009339CB" w:rsidRPr="007438C6" w:rsidRDefault="009339CB" w:rsidP="00DE76DD">
      <w:pPr>
        <w:pStyle w:val="Heading2"/>
        <w:jc w:val="both"/>
      </w:pPr>
      <w:r w:rsidRPr="007438C6">
        <w:t>2.2</w:t>
      </w:r>
      <w:r w:rsidRPr="007438C6">
        <w:tab/>
      </w:r>
      <w:r w:rsidR="00297217">
        <w:t>Group HO</w:t>
      </w:r>
      <w:r w:rsidR="00BF1755">
        <w:t>, common HO parameters and pre</w:t>
      </w:r>
      <w:r w:rsidR="00C663CB">
        <w:t>-</w:t>
      </w:r>
      <w:r w:rsidR="00BF1755">
        <w:t>configuration</w:t>
      </w:r>
    </w:p>
    <w:p w14:paraId="5F664322" w14:textId="13A1C7EA" w:rsidR="00A535C2" w:rsidRDefault="00A535C2" w:rsidP="00DE76DD">
      <w:pPr>
        <w:jc w:val="both"/>
      </w:pPr>
      <w:r>
        <w:t xml:space="preserve">At RAN2#119bis the following decision has been made </w:t>
      </w:r>
      <w:r>
        <w:fldChar w:fldCharType="begin"/>
      </w:r>
      <w:r>
        <w:instrText xml:space="preserve"> REF _Ref117785152 \r \h </w:instrText>
      </w:r>
      <w:r w:rsidR="00004C3A">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A535C2" w14:paraId="4039EDD5" w14:textId="77777777" w:rsidTr="00A535C2">
        <w:tc>
          <w:tcPr>
            <w:tcW w:w="9631" w:type="dxa"/>
          </w:tcPr>
          <w:p w14:paraId="72C665BD" w14:textId="3A416C7C" w:rsidR="00A535C2" w:rsidRDefault="00A535C2" w:rsidP="00DE76DD">
            <w:pPr>
              <w:jc w:val="both"/>
            </w:pPr>
            <w:r w:rsidRPr="00A535C2">
              <w:t>1.</w:t>
            </w:r>
            <w:r w:rsidRPr="00A535C2">
              <w:tab/>
              <w:t>Continue the discussion (in future meeting) on group HO / “UE specific pre-configuration of the target cell + group HO” indication in the next meeting, also on the possible real benefit</w:t>
            </w:r>
          </w:p>
        </w:tc>
      </w:tr>
    </w:tbl>
    <w:p w14:paraId="1BC82ECA" w14:textId="56AE50CF" w:rsidR="009339CB" w:rsidRDefault="001E637B" w:rsidP="00DE76DD">
      <w:pPr>
        <w:jc w:val="both"/>
      </w:pPr>
      <w:r>
        <w:br/>
        <w:t>During the online discussion</w:t>
      </w:r>
      <w:r w:rsidR="00D8454D">
        <w:t xml:space="preserve"> it </w:t>
      </w:r>
      <w:r w:rsidR="00547458">
        <w:t xml:space="preserve">was debated what are the actual gains of this approach. It was argued that the signalling overhead is reduced </w:t>
      </w:r>
      <w:r w:rsidR="00310F47">
        <w:t xml:space="preserve">due to the </w:t>
      </w:r>
      <w:r w:rsidR="0087694C">
        <w:t xml:space="preserve">group HO command. However, in our opinion HO is rather a UE-specific procedure and configuration. Thus, </w:t>
      </w:r>
      <w:r w:rsidR="0065389F">
        <w:t>it remains unclear to us how this is done for a group of UEs in fact and how come they will share the same broadcasted or groupcasted configuration.</w:t>
      </w:r>
    </w:p>
    <w:p w14:paraId="5FD5AB97" w14:textId="77777777" w:rsidR="00CB49EC" w:rsidRPr="00CB49EC" w:rsidRDefault="0074167F" w:rsidP="00DE76DD">
      <w:pPr>
        <w:jc w:val="both"/>
        <w:rPr>
          <w:b/>
          <w:bCs/>
        </w:rPr>
      </w:pPr>
      <w:r w:rsidRPr="00CB49EC">
        <w:rPr>
          <w:b/>
          <w:bCs/>
        </w:rPr>
        <w:t xml:space="preserve">Observation 5: </w:t>
      </w:r>
      <w:r w:rsidR="00670F9F" w:rsidRPr="00CB49EC">
        <w:rPr>
          <w:b/>
          <w:bCs/>
        </w:rPr>
        <w:t xml:space="preserve">In group HO scheme it remains unclear how </w:t>
      </w:r>
      <w:r w:rsidR="00C16633" w:rsidRPr="00CB49EC">
        <w:rPr>
          <w:b/>
          <w:bCs/>
        </w:rPr>
        <w:t>multiple UEs can use the same HO command</w:t>
      </w:r>
      <w:r w:rsidR="00BD2A0F" w:rsidRPr="00CB49EC">
        <w:rPr>
          <w:b/>
          <w:bCs/>
        </w:rPr>
        <w:t xml:space="preserve"> </w:t>
      </w:r>
      <w:r w:rsidR="00C16633" w:rsidRPr="00CB49EC">
        <w:rPr>
          <w:b/>
          <w:bCs/>
        </w:rPr>
        <w:t>which is</w:t>
      </w:r>
      <w:r w:rsidR="00BD2A0F" w:rsidRPr="00CB49EC">
        <w:rPr>
          <w:b/>
          <w:bCs/>
        </w:rPr>
        <w:t xml:space="preserve"> considered to be</w:t>
      </w:r>
      <w:r w:rsidR="00C16633" w:rsidRPr="00CB49EC">
        <w:rPr>
          <w:b/>
          <w:bCs/>
        </w:rPr>
        <w:t xml:space="preserve"> a UE-specific configuration</w:t>
      </w:r>
      <w:r w:rsidR="00BD2A0F" w:rsidRPr="00CB49EC">
        <w:rPr>
          <w:b/>
          <w:bCs/>
        </w:rPr>
        <w:t>.</w:t>
      </w:r>
    </w:p>
    <w:p w14:paraId="27AF859D" w14:textId="391A1ECB" w:rsidR="0074167F" w:rsidRDefault="00511F84" w:rsidP="00DE76DD">
      <w:pPr>
        <w:jc w:val="both"/>
      </w:pPr>
      <w:r>
        <w:t>If the groupcast/broadcast is used just for triggering the actual cell change, while the pre</w:t>
      </w:r>
      <w:r w:rsidR="00A16FF4">
        <w:t>-</w:t>
      </w:r>
      <w:r>
        <w:t>configuration occurs earlier, then we do not see where the s</w:t>
      </w:r>
      <w:r w:rsidR="00CB49EC">
        <w:t>ignalling</w:t>
      </w:r>
      <w:r>
        <w:t xml:space="preserve"> reduction gains </w:t>
      </w:r>
      <w:r w:rsidR="00916BBE">
        <w:t>are achieved. After all,</w:t>
      </w:r>
      <w:r w:rsidR="00BF1755">
        <w:t xml:space="preserve"> each UE needs to be configured individually for HO.</w:t>
      </w:r>
    </w:p>
    <w:p w14:paraId="6605E80F" w14:textId="216E725B" w:rsidR="00BF1755" w:rsidRPr="00DA3B55" w:rsidRDefault="00BF1755" w:rsidP="00DE76DD">
      <w:pPr>
        <w:jc w:val="both"/>
        <w:rPr>
          <w:b/>
          <w:bCs/>
        </w:rPr>
      </w:pPr>
      <w:r w:rsidRPr="00DA3B55">
        <w:rPr>
          <w:b/>
          <w:bCs/>
        </w:rPr>
        <w:lastRenderedPageBreak/>
        <w:t xml:space="preserve">Observation 6: </w:t>
      </w:r>
      <w:r w:rsidR="00DA3B55" w:rsidRPr="00DA3B55">
        <w:rPr>
          <w:b/>
          <w:bCs/>
        </w:rPr>
        <w:t>There is no signalling reduction even if mobility preparation is divided into pre-configuration and subsequent indication to perform cell change. Each UE is anyway configured individually with HO command.</w:t>
      </w:r>
    </w:p>
    <w:p w14:paraId="386B8A7F" w14:textId="407F2118" w:rsidR="00DA3B55" w:rsidRDefault="00433EAD" w:rsidP="00DE76DD">
      <w:pPr>
        <w:jc w:val="both"/>
      </w:pPr>
      <w:r>
        <w:t>In our previous paper</w:t>
      </w:r>
      <w:r w:rsidR="00B81A75">
        <w:t xml:space="preserve"> </w:t>
      </w:r>
      <w:r w:rsidR="00B81A75">
        <w:fldChar w:fldCharType="begin"/>
      </w:r>
      <w:r w:rsidR="00B81A75">
        <w:instrText xml:space="preserve"> REF _Ref118098649 \r \h </w:instrText>
      </w:r>
      <w:r w:rsidR="00004C3A">
        <w:instrText xml:space="preserve"> \* MERGEFORMAT </w:instrText>
      </w:r>
      <w:r w:rsidR="00B81A75">
        <w:fldChar w:fldCharType="separate"/>
      </w:r>
      <w:r w:rsidR="00B81A75">
        <w:t>[3]</w:t>
      </w:r>
      <w:r w:rsidR="00B81A75">
        <w:fldChar w:fldCharType="end"/>
      </w:r>
      <w:r>
        <w:t xml:space="preserve"> we have </w:t>
      </w:r>
      <w:r w:rsidR="00B81A75">
        <w:t xml:space="preserve">already noticed that </w:t>
      </w:r>
      <w:r w:rsidR="00B81A75" w:rsidRPr="00B81A75">
        <w:t>the problem which group HO is attempting to solve can be already addressed using CHO with time-based triggering. The network prepare</w:t>
      </w:r>
      <w:r w:rsidR="00B81A75">
        <w:t>s</w:t>
      </w:r>
      <w:r w:rsidR="00B81A75" w:rsidRPr="00B81A75">
        <w:t xml:space="preserve"> multiple UEs in advance and</w:t>
      </w:r>
      <w:r w:rsidR="00B81A75">
        <w:t xml:space="preserve"> can</w:t>
      </w:r>
      <w:r w:rsidR="00B81A75" w:rsidRPr="00B81A75">
        <w:t xml:space="preserve"> stagger those preparations to avoid signalling storm. Then, each UE will evaluate corresponding CHO execution conditions, including time-based condition which should reflect the serving cell’s switch-off time. The UE decide</w:t>
      </w:r>
      <w:r w:rsidR="005B462B">
        <w:t>s</w:t>
      </w:r>
      <w:r w:rsidR="00B81A75" w:rsidRPr="00B81A75">
        <w:t xml:space="preserve"> to start accessing the target when CHO-related conditions are met (i.e. no further signalling from the source cell is needed</w:t>
      </w:r>
      <w:r w:rsidR="005B462B">
        <w:t>, unlike in proposed group HO scheme</w:t>
      </w:r>
      <w:r w:rsidR="00B81A75" w:rsidRPr="00B81A75">
        <w:t>).</w:t>
      </w:r>
    </w:p>
    <w:p w14:paraId="2EA28703" w14:textId="723371B2" w:rsidR="005B462B" w:rsidRPr="00450122" w:rsidRDefault="005B462B" w:rsidP="00DE76DD">
      <w:pPr>
        <w:jc w:val="both"/>
        <w:rPr>
          <w:b/>
          <w:bCs/>
        </w:rPr>
      </w:pPr>
      <w:r w:rsidRPr="00450122">
        <w:rPr>
          <w:b/>
          <w:bCs/>
        </w:rPr>
        <w:t xml:space="preserve">Observation 7: </w:t>
      </w:r>
      <w:r w:rsidR="00D55A19" w:rsidRPr="00450122">
        <w:rPr>
          <w:b/>
          <w:bCs/>
        </w:rPr>
        <w:t>Time-based CHO triggering (defined in Rel-17) can achieve similar goal as proposed group HO</w:t>
      </w:r>
      <w:r w:rsidR="00A27157" w:rsidRPr="00450122">
        <w:rPr>
          <w:b/>
          <w:bCs/>
        </w:rPr>
        <w:t xml:space="preserve"> scheme</w:t>
      </w:r>
      <w:r w:rsidR="00D92ABC" w:rsidRPr="00450122">
        <w:rPr>
          <w:b/>
          <w:bCs/>
        </w:rPr>
        <w:t xml:space="preserve">. Additionally, it does not require </w:t>
      </w:r>
      <w:r w:rsidR="0058045B" w:rsidRPr="00450122">
        <w:rPr>
          <w:b/>
          <w:bCs/>
        </w:rPr>
        <w:t>sig</w:t>
      </w:r>
      <w:r w:rsidR="00450122" w:rsidRPr="00450122">
        <w:rPr>
          <w:b/>
          <w:bCs/>
        </w:rPr>
        <w:t>nalling to trigger the actual cell change.</w:t>
      </w:r>
    </w:p>
    <w:p w14:paraId="4EED9709" w14:textId="3D26CF8E" w:rsidR="00450122" w:rsidRDefault="00450122" w:rsidP="00DE76DD">
      <w:pPr>
        <w:jc w:val="both"/>
      </w:pPr>
      <w:r>
        <w:t>Due to the aforementioned reasons, we suggest not to work on this solution, unless clear gains are shown.</w:t>
      </w:r>
    </w:p>
    <w:p w14:paraId="2447192A" w14:textId="560A43F0" w:rsidR="00450122" w:rsidRPr="00F366BD" w:rsidRDefault="00450122" w:rsidP="00DE76DD">
      <w:pPr>
        <w:jc w:val="both"/>
        <w:rPr>
          <w:b/>
          <w:bCs/>
        </w:rPr>
      </w:pPr>
      <w:r w:rsidRPr="00F366BD">
        <w:rPr>
          <w:b/>
          <w:bCs/>
        </w:rPr>
        <w:t xml:space="preserve">Proposal 3: </w:t>
      </w:r>
      <w:r w:rsidR="00292DD1" w:rsidRPr="00F366BD">
        <w:rPr>
          <w:b/>
          <w:bCs/>
        </w:rPr>
        <w:t>Group HO</w:t>
      </w:r>
      <w:r w:rsidR="00F366BD" w:rsidRPr="00F366BD">
        <w:rPr>
          <w:b/>
          <w:bCs/>
        </w:rPr>
        <w:t xml:space="preserve"> or HO command pre-configuration</w:t>
      </w:r>
      <w:r w:rsidR="00292DD1" w:rsidRPr="00F366BD">
        <w:rPr>
          <w:b/>
          <w:bCs/>
        </w:rPr>
        <w:t xml:space="preserve"> is not pursued as a part of Rel-18 NTN enhancements</w:t>
      </w:r>
      <w:r w:rsidR="00F366BD" w:rsidRPr="00F366BD">
        <w:rPr>
          <w:b/>
          <w:bCs/>
        </w:rPr>
        <w:t xml:space="preserve"> unless clear gains are shown.</w:t>
      </w:r>
    </w:p>
    <w:p w14:paraId="753421F0" w14:textId="393CED12" w:rsidR="007438C6" w:rsidRDefault="007438C6" w:rsidP="00DE76DD">
      <w:pPr>
        <w:pStyle w:val="Heading2"/>
        <w:jc w:val="both"/>
      </w:pPr>
      <w:r>
        <w:t>2.</w:t>
      </w:r>
      <w:r w:rsidR="00BF1755">
        <w:t>3</w:t>
      </w:r>
      <w:r>
        <w:t xml:space="preserve"> </w:t>
      </w:r>
      <w:r>
        <w:tab/>
      </w:r>
      <w:r w:rsidR="00796CE1">
        <w:t>Keeping PCI after satellite switches</w:t>
      </w:r>
    </w:p>
    <w:p w14:paraId="010A9FBE" w14:textId="5A131888" w:rsidR="00D73010" w:rsidRDefault="00D73010" w:rsidP="00DE76DD">
      <w:pPr>
        <w:jc w:val="both"/>
      </w:pPr>
      <w:r>
        <w:t>At RAN2</w:t>
      </w:r>
      <w:r w:rsidRPr="00B93113">
        <w:t xml:space="preserve">#119bis the following has </w:t>
      </w:r>
      <w:r>
        <w:t xml:space="preserve">been agreed </w:t>
      </w:r>
      <w:r>
        <w:fldChar w:fldCharType="begin"/>
      </w:r>
      <w:r>
        <w:instrText xml:space="preserve"> REF _Ref117785152 \r \h </w:instrText>
      </w:r>
      <w:r w:rsidR="00DE76DD">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D73010" w14:paraId="3855DC60" w14:textId="77777777" w:rsidTr="00D73010">
        <w:tc>
          <w:tcPr>
            <w:tcW w:w="9631" w:type="dxa"/>
          </w:tcPr>
          <w:p w14:paraId="51840CCA" w14:textId="77777777" w:rsidR="00D73010" w:rsidRDefault="00D73010" w:rsidP="00DE76DD">
            <w:pPr>
              <w:jc w:val="both"/>
            </w:pPr>
            <w:r>
              <w:t>1.</w:t>
            </w:r>
            <w:r>
              <w:tab/>
              <w:t xml:space="preserve">RAN2 continues the discussion (e.g. at RAN2#120) on the solution with keeping the same PCI after switching of the satellites. Clarify at least the following: </w:t>
            </w:r>
          </w:p>
          <w:p w14:paraId="51EB82DD" w14:textId="15A24E94" w:rsidR="00D73010" w:rsidRDefault="00D73010" w:rsidP="00DE76DD">
            <w:pPr>
              <w:pStyle w:val="ListParagraph"/>
              <w:numPr>
                <w:ilvl w:val="0"/>
                <w:numId w:val="11"/>
              </w:numPr>
              <w:jc w:val="both"/>
            </w:pPr>
            <w:r>
              <w:t>RAN1 impact</w:t>
            </w:r>
          </w:p>
          <w:p w14:paraId="53083E30" w14:textId="420D2A0F" w:rsidR="00D73010" w:rsidRDefault="00D73010" w:rsidP="00DE76DD">
            <w:pPr>
              <w:pStyle w:val="ListParagraph"/>
              <w:numPr>
                <w:ilvl w:val="0"/>
                <w:numId w:val="11"/>
              </w:numPr>
              <w:jc w:val="both"/>
            </w:pPr>
            <w:r>
              <w:t xml:space="preserve">The need to perform UL beam switching and/or RA </w:t>
            </w:r>
          </w:p>
          <w:p w14:paraId="6E5119C0" w14:textId="7E469279" w:rsidR="00D73010" w:rsidRDefault="00D73010" w:rsidP="00DE76DD">
            <w:pPr>
              <w:pStyle w:val="ListParagraph"/>
              <w:numPr>
                <w:ilvl w:val="0"/>
                <w:numId w:val="11"/>
              </w:numPr>
              <w:jc w:val="both"/>
            </w:pPr>
            <w:r>
              <w:t>Applicability to hard or soft satellite switching</w:t>
            </w:r>
          </w:p>
        </w:tc>
      </w:tr>
    </w:tbl>
    <w:p w14:paraId="2284D715" w14:textId="74F5913D" w:rsidR="00B04692" w:rsidRDefault="00B93113" w:rsidP="00DE76DD">
      <w:pPr>
        <w:jc w:val="both"/>
      </w:pPr>
      <w:r>
        <w:br/>
      </w:r>
      <w:r w:rsidR="00B04692">
        <w:t xml:space="preserve">The proponents of this scheme argue that HO can be avoided if the same PCI is used after satellite switch. </w:t>
      </w:r>
      <w:r w:rsidR="00686109">
        <w:t xml:space="preserve">If the cells will use the same PCI then indeed the UE may not differentiate between those cells. </w:t>
      </w:r>
      <w:r w:rsidR="00A63CA0">
        <w:t>However, the UE would anyway need to change the beam and perform RA.</w:t>
      </w:r>
    </w:p>
    <w:p w14:paraId="04618E92" w14:textId="0EEC7CD2" w:rsidR="00A63CA0" w:rsidRPr="00234560" w:rsidRDefault="00A63CA0" w:rsidP="00DE76DD">
      <w:pPr>
        <w:jc w:val="both"/>
        <w:rPr>
          <w:b/>
          <w:bCs/>
        </w:rPr>
      </w:pPr>
      <w:r w:rsidRPr="00234560">
        <w:rPr>
          <w:b/>
          <w:bCs/>
        </w:rPr>
        <w:t>Observation 8: If the PCI is reused after satellite switches, the</w:t>
      </w:r>
      <w:r w:rsidR="00234560" w:rsidRPr="00234560">
        <w:rPr>
          <w:b/>
          <w:bCs/>
        </w:rPr>
        <w:t xml:space="preserve"> UE may consider the cell remains the same. However, a Random Access to switch the beam is needed anyway.</w:t>
      </w:r>
      <w:r w:rsidRPr="00234560">
        <w:rPr>
          <w:b/>
          <w:bCs/>
        </w:rPr>
        <w:t xml:space="preserve"> </w:t>
      </w:r>
    </w:p>
    <w:p w14:paraId="0FFCEDDC" w14:textId="225B8D4A" w:rsidR="00A710B3" w:rsidRDefault="00A710B3" w:rsidP="00DE76DD">
      <w:pPr>
        <w:jc w:val="both"/>
      </w:pPr>
      <w:r>
        <w:t>There are two clear cases to distinguish here:</w:t>
      </w:r>
    </w:p>
    <w:p w14:paraId="3E8F157C" w14:textId="56FBE3DD" w:rsidR="00F71B10" w:rsidRDefault="00F71B10" w:rsidP="00DE76DD">
      <w:pPr>
        <w:pStyle w:val="ListParagraph"/>
        <w:numPr>
          <w:ilvl w:val="0"/>
          <w:numId w:val="12"/>
        </w:numPr>
        <w:jc w:val="both"/>
      </w:pPr>
      <w:r>
        <w:t>Cells h</w:t>
      </w:r>
      <w:r w:rsidR="00A710B3">
        <w:t>ard</w:t>
      </w:r>
      <w:r>
        <w:t>-</w:t>
      </w:r>
      <w:r w:rsidR="00A710B3">
        <w:t>switching</w:t>
      </w:r>
      <w:r>
        <w:t>, where</w:t>
      </w:r>
      <w:r w:rsidR="00146A71">
        <w:t xml:space="preserve"> the previously serving cell is switched off before the next cell starts serving this area</w:t>
      </w:r>
      <w:r w:rsidR="009E1568">
        <w:t>/UE</w:t>
      </w:r>
      <w:r w:rsidR="009B4617">
        <w:t xml:space="preserve">. </w:t>
      </w:r>
    </w:p>
    <w:p w14:paraId="435E9C6C" w14:textId="052EE62C" w:rsidR="00A710B3" w:rsidRDefault="00F71B10" w:rsidP="00DE76DD">
      <w:pPr>
        <w:pStyle w:val="ListParagraph"/>
        <w:numPr>
          <w:ilvl w:val="0"/>
          <w:numId w:val="12"/>
        </w:numPr>
        <w:jc w:val="both"/>
      </w:pPr>
      <w:r>
        <w:t>Cells soft-switching</w:t>
      </w:r>
      <w:r w:rsidR="009B4617">
        <w:t xml:space="preserve">, where </w:t>
      </w:r>
      <w:r w:rsidR="00A45AC0">
        <w:t>the previously serving cell is switched off after the next cell starts ser</w:t>
      </w:r>
      <w:r w:rsidR="009E1568">
        <w:t>ving this area/UE.</w:t>
      </w:r>
      <w:r>
        <w:t xml:space="preserve"> </w:t>
      </w:r>
    </w:p>
    <w:p w14:paraId="3D3BC09B" w14:textId="304E82C1" w:rsidR="00D91425" w:rsidRPr="00D91425" w:rsidRDefault="00D91425" w:rsidP="00DE76DD">
      <w:pPr>
        <w:jc w:val="both"/>
        <w:rPr>
          <w:b/>
          <w:bCs/>
        </w:rPr>
      </w:pPr>
      <w:r w:rsidRPr="00D91425">
        <w:rPr>
          <w:b/>
          <w:bCs/>
        </w:rPr>
        <w:t>Observation 9: For reusing PCI when satellite changes, there are two distinguishable cases: hard-switching and soft-switching.</w:t>
      </w:r>
    </w:p>
    <w:p w14:paraId="1E71DC4B" w14:textId="67331E03" w:rsidR="00F71B10" w:rsidRDefault="00D91425" w:rsidP="00DE76DD">
      <w:pPr>
        <w:jc w:val="both"/>
      </w:pPr>
      <w:r>
        <w:t>For the hard-switch</w:t>
      </w:r>
      <w:r w:rsidR="000A43A7">
        <w:t>ing</w:t>
      </w:r>
      <w:r>
        <w:t xml:space="preserve">, </w:t>
      </w:r>
      <w:r w:rsidR="00436168">
        <w:t xml:space="preserve">the timing and Doppler </w:t>
      </w:r>
      <w:r w:rsidR="00F45F5D">
        <w:t>values change</w:t>
      </w:r>
      <w:r w:rsidR="00421079">
        <w:t>. Thus,</w:t>
      </w:r>
      <w:r w:rsidR="00F45F5D">
        <w:t xml:space="preserve"> performing RACH is inevitable</w:t>
      </w:r>
      <w:r w:rsidR="006111A1">
        <w:t xml:space="preserve"> so that the UE does not experience RLF soon after the previous cell is switched off. </w:t>
      </w:r>
      <w:r w:rsidR="00421079">
        <w:t>Gains of this scheme d</w:t>
      </w:r>
      <w:r w:rsidR="000953B2">
        <w:t xml:space="preserve">epend on the length of the gap between the time when previous cell stops </w:t>
      </w:r>
      <w:r w:rsidR="00CD6F22">
        <w:t xml:space="preserve">providing coverage and new cell starts serving </w:t>
      </w:r>
      <w:r w:rsidR="001667DA">
        <w:t>the UE</w:t>
      </w:r>
      <w:r w:rsidR="00701AA0">
        <w:t xml:space="preserve"> and shall be shown</w:t>
      </w:r>
      <w:r w:rsidR="006D7F59">
        <w:t xml:space="preserve"> before RAN2 concludes this is worth pursuing.</w:t>
      </w:r>
    </w:p>
    <w:p w14:paraId="6C63D41B" w14:textId="77777777" w:rsidR="003F64AA" w:rsidRDefault="006D7F59" w:rsidP="00DE76DD">
      <w:pPr>
        <w:jc w:val="both"/>
      </w:pPr>
      <w:r>
        <w:t xml:space="preserve">For the soft-switching, </w:t>
      </w:r>
      <w:r w:rsidR="0062361F">
        <w:t xml:space="preserve">the issue described above for hard-switching also applies. In addition, there </w:t>
      </w:r>
      <w:r w:rsidR="00694C99">
        <w:t xml:space="preserve">may be a need to coordinate </w:t>
      </w:r>
      <w:r w:rsidR="008E710F">
        <w:t xml:space="preserve">the exact resources used </w:t>
      </w:r>
      <w:r w:rsidR="00694C99">
        <w:t>between those two cells</w:t>
      </w:r>
      <w:r w:rsidR="00B03740">
        <w:t xml:space="preserve"> in order to avoid the interferences between those cells and resource collisions</w:t>
      </w:r>
      <w:r w:rsidR="003F64AA">
        <w:t>.</w:t>
      </w:r>
    </w:p>
    <w:p w14:paraId="127DF921" w14:textId="2EDC1635" w:rsidR="006D7F59" w:rsidRPr="00A27F8A" w:rsidRDefault="00CC717B" w:rsidP="00DE76DD">
      <w:pPr>
        <w:jc w:val="both"/>
        <w:rPr>
          <w:b/>
          <w:bCs/>
        </w:rPr>
      </w:pPr>
      <w:r w:rsidRPr="00A27F8A">
        <w:rPr>
          <w:b/>
          <w:bCs/>
        </w:rPr>
        <w:t xml:space="preserve">Observation 10: </w:t>
      </w:r>
      <w:r w:rsidR="0007567A" w:rsidRPr="00A27F8A">
        <w:rPr>
          <w:b/>
          <w:bCs/>
        </w:rPr>
        <w:t>T</w:t>
      </w:r>
      <w:r w:rsidRPr="00A27F8A">
        <w:rPr>
          <w:b/>
          <w:bCs/>
        </w:rPr>
        <w:t>here is a number of issues to resolve for reusing PCI after satellite switches</w:t>
      </w:r>
      <w:r w:rsidR="002D7C51">
        <w:rPr>
          <w:b/>
          <w:bCs/>
        </w:rPr>
        <w:t>, e.g.</w:t>
      </w:r>
      <w:r w:rsidR="00E011EB" w:rsidRPr="00A27F8A">
        <w:rPr>
          <w:b/>
          <w:bCs/>
        </w:rPr>
        <w:t xml:space="preserve"> how to avoid RLF, the need to perform RA</w:t>
      </w:r>
      <w:r w:rsidR="002D7C51">
        <w:rPr>
          <w:b/>
          <w:bCs/>
        </w:rPr>
        <w:t xml:space="preserve"> or inter-cell</w:t>
      </w:r>
      <w:r w:rsidR="00E011EB" w:rsidRPr="00A27F8A">
        <w:rPr>
          <w:b/>
          <w:bCs/>
        </w:rPr>
        <w:t xml:space="preserve"> resource </w:t>
      </w:r>
      <w:r w:rsidR="00A27F8A" w:rsidRPr="00A27F8A">
        <w:rPr>
          <w:b/>
          <w:bCs/>
        </w:rPr>
        <w:t>coordination.</w:t>
      </w:r>
      <w:r w:rsidR="00694C99" w:rsidRPr="00A27F8A">
        <w:rPr>
          <w:b/>
          <w:bCs/>
        </w:rPr>
        <w:t xml:space="preserve"> </w:t>
      </w:r>
    </w:p>
    <w:p w14:paraId="1D649873" w14:textId="5C5BA6C4" w:rsidR="009B33D9" w:rsidRDefault="009B33D9" w:rsidP="00DE76DD">
      <w:pPr>
        <w:jc w:val="both"/>
      </w:pPr>
      <w:r>
        <w:t xml:space="preserve">As can be seen above, </w:t>
      </w:r>
      <w:r w:rsidR="00436C06">
        <w:t xml:space="preserve">the </w:t>
      </w:r>
      <w:r w:rsidR="001365C0">
        <w:t xml:space="preserve">gains are a bit unclear while specification complexity seems to be non-negligible. Thus, we </w:t>
      </w:r>
      <w:r w:rsidR="000D29D3">
        <w:t>suggest the following:</w:t>
      </w:r>
    </w:p>
    <w:p w14:paraId="672AC714" w14:textId="6F1A9396" w:rsidR="00953FDA" w:rsidRPr="0065044C" w:rsidRDefault="00953FDA" w:rsidP="00DE76DD">
      <w:pPr>
        <w:jc w:val="both"/>
        <w:rPr>
          <w:b/>
          <w:bCs/>
        </w:rPr>
      </w:pPr>
      <w:r w:rsidRPr="0065044C">
        <w:rPr>
          <w:b/>
          <w:bCs/>
        </w:rPr>
        <w:t xml:space="preserve">Proposal 4: </w:t>
      </w:r>
      <w:r w:rsidR="008B6881" w:rsidRPr="0065044C">
        <w:rPr>
          <w:b/>
          <w:bCs/>
        </w:rPr>
        <w:t>Reusing PCI after satellite switch</w:t>
      </w:r>
      <w:r w:rsidR="00CA79D2" w:rsidRPr="0065044C">
        <w:rPr>
          <w:b/>
          <w:bCs/>
        </w:rPr>
        <w:t>es</w:t>
      </w:r>
      <w:r w:rsidR="008B6881" w:rsidRPr="0065044C">
        <w:rPr>
          <w:b/>
          <w:bCs/>
        </w:rPr>
        <w:t xml:space="preserve"> is not pursued as a part of Rel-18 NTN</w:t>
      </w:r>
      <w:r w:rsidR="002D5C14" w:rsidRPr="0065044C">
        <w:rPr>
          <w:b/>
          <w:bCs/>
        </w:rPr>
        <w:t xml:space="preserve">, unless the gains are clearly proven and identified issues can be </w:t>
      </w:r>
      <w:r w:rsidR="0065044C" w:rsidRPr="0065044C">
        <w:rPr>
          <w:b/>
          <w:bCs/>
        </w:rPr>
        <w:t>easily resolved.</w:t>
      </w:r>
    </w:p>
    <w:p w14:paraId="3CFFEDDF" w14:textId="350F9530" w:rsidR="0072775B" w:rsidRDefault="0072775B" w:rsidP="00DE76DD">
      <w:pPr>
        <w:pStyle w:val="Heading2"/>
        <w:jc w:val="both"/>
      </w:pPr>
      <w:r>
        <w:lastRenderedPageBreak/>
        <w:t xml:space="preserve">2.4 </w:t>
      </w:r>
      <w:r w:rsidR="005B6D9B">
        <w:tab/>
      </w:r>
      <w:r>
        <w:t>RACH-less HO</w:t>
      </w:r>
    </w:p>
    <w:p w14:paraId="75DA1C50" w14:textId="29A10694" w:rsidR="0072775B" w:rsidRDefault="00F71D95" w:rsidP="00DE76DD">
      <w:pPr>
        <w:jc w:val="both"/>
      </w:pPr>
      <w:r>
        <w:t xml:space="preserve">In this section we share our views regarding the recent LS response from RAN1 </w:t>
      </w:r>
      <w:r>
        <w:fldChar w:fldCharType="begin"/>
      </w:r>
      <w:r>
        <w:instrText xml:space="preserve"> REF _Ref126322789 \r \h </w:instrText>
      </w:r>
      <w:r w:rsidR="00DE76DD">
        <w:instrText xml:space="preserve"> \* MERGEFORMAT </w:instrText>
      </w:r>
      <w:r>
        <w:fldChar w:fldCharType="separate"/>
      </w:r>
      <w:r>
        <w:t>[5]</w:t>
      </w:r>
      <w:r>
        <w:fldChar w:fldCharType="end"/>
      </w:r>
      <w:r>
        <w:t xml:space="preserve">. RAN1 has studied different scenarios where RACH-less handover in NTN could be doable. </w:t>
      </w:r>
      <w:r w:rsidR="004245E6">
        <w:t>The scenarios listed in the original LS from RAN2 were as follows:</w:t>
      </w:r>
    </w:p>
    <w:tbl>
      <w:tblPr>
        <w:tblStyle w:val="TableGrid"/>
        <w:tblW w:w="0" w:type="auto"/>
        <w:tblLook w:val="04A0" w:firstRow="1" w:lastRow="0" w:firstColumn="1" w:lastColumn="0" w:noHBand="0" w:noVBand="1"/>
      </w:tblPr>
      <w:tblGrid>
        <w:gridCol w:w="9631"/>
      </w:tblGrid>
      <w:tr w:rsidR="004245E6" w14:paraId="7DE8CE81" w14:textId="77777777" w:rsidTr="004245E6">
        <w:tc>
          <w:tcPr>
            <w:tcW w:w="9631" w:type="dxa"/>
          </w:tcPr>
          <w:p w14:paraId="67472FDC" w14:textId="77777777" w:rsidR="004245E6" w:rsidRDefault="004245E6" w:rsidP="00DE76DD">
            <w:pPr>
              <w:numPr>
                <w:ilvl w:val="0"/>
                <w:numId w:val="13"/>
              </w:numPr>
              <w:overflowPunct w:val="0"/>
              <w:autoSpaceDE w:val="0"/>
              <w:autoSpaceDN w:val="0"/>
              <w:adjustRightInd w:val="0"/>
              <w:spacing w:after="0"/>
              <w:jc w:val="both"/>
              <w:textAlignment w:val="baseline"/>
              <w:rPr>
                <w:rFonts w:ascii="Times" w:eastAsia="SimSun" w:hAnsi="Times" w:cs="Times"/>
                <w:lang w:val="en-US" w:eastAsia="zh-CN"/>
              </w:rPr>
            </w:pPr>
            <w:r>
              <w:rPr>
                <w:rFonts w:ascii="Times" w:eastAsia="SimSun" w:hAnsi="Times" w:cs="Times"/>
                <w:lang w:val="en-US" w:eastAsia="zh-CN" w:bidi="ar"/>
              </w:rPr>
              <w:t>Intra-satellite handover with the same feeder link. i.e., with same gateway/gNB</w:t>
            </w:r>
          </w:p>
          <w:p w14:paraId="3103F4A6" w14:textId="77777777" w:rsidR="004245E6" w:rsidRDefault="004245E6" w:rsidP="00DE76DD">
            <w:pPr>
              <w:numPr>
                <w:ilvl w:val="0"/>
                <w:numId w:val="13"/>
              </w:numPr>
              <w:overflowPunct w:val="0"/>
              <w:autoSpaceDE w:val="0"/>
              <w:autoSpaceDN w:val="0"/>
              <w:adjustRightInd w:val="0"/>
              <w:spacing w:after="0"/>
              <w:jc w:val="both"/>
              <w:textAlignment w:val="baseline"/>
              <w:rPr>
                <w:rFonts w:ascii="Times" w:eastAsia="SimSun" w:hAnsi="Times" w:cs="Times"/>
                <w:lang w:val="en-US" w:eastAsia="zh-CN"/>
              </w:rPr>
            </w:pPr>
            <w:r>
              <w:rPr>
                <w:rFonts w:ascii="Times" w:eastAsia="SimSun" w:hAnsi="Times" w:cs="Times"/>
                <w:lang w:val="en-US" w:eastAsia="zh-CN" w:bidi="ar"/>
              </w:rPr>
              <w:t>Intra-satellite handover with different feeder links, i.e., with gateway/gNB switch</w:t>
            </w:r>
          </w:p>
          <w:p w14:paraId="7FCD4317" w14:textId="77777777" w:rsidR="004245E6" w:rsidRDefault="004245E6" w:rsidP="00DE76DD">
            <w:pPr>
              <w:numPr>
                <w:ilvl w:val="0"/>
                <w:numId w:val="13"/>
              </w:numPr>
              <w:overflowPunct w:val="0"/>
              <w:autoSpaceDE w:val="0"/>
              <w:autoSpaceDN w:val="0"/>
              <w:adjustRightInd w:val="0"/>
              <w:spacing w:after="0"/>
              <w:jc w:val="both"/>
              <w:textAlignment w:val="baseline"/>
              <w:rPr>
                <w:rFonts w:ascii="Times" w:eastAsia="SimSun" w:hAnsi="Times" w:cs="Times"/>
                <w:lang w:val="en-US" w:eastAsia="zh-CN"/>
              </w:rPr>
            </w:pPr>
            <w:r>
              <w:rPr>
                <w:rFonts w:ascii="Times" w:eastAsia="SimSun" w:hAnsi="Times" w:cs="Times"/>
                <w:lang w:val="en-US" w:eastAsia="zh-CN" w:bidi="ar"/>
              </w:rPr>
              <w:t>Inter-satellite handover with gateway/gNB switch</w:t>
            </w:r>
          </w:p>
          <w:p w14:paraId="7707B648" w14:textId="682C5ADB" w:rsidR="004245E6" w:rsidRPr="004245E6" w:rsidRDefault="004245E6" w:rsidP="00DE76DD">
            <w:pPr>
              <w:numPr>
                <w:ilvl w:val="0"/>
                <w:numId w:val="13"/>
              </w:numPr>
              <w:overflowPunct w:val="0"/>
              <w:autoSpaceDE w:val="0"/>
              <w:autoSpaceDN w:val="0"/>
              <w:adjustRightInd w:val="0"/>
              <w:spacing w:after="0"/>
              <w:jc w:val="both"/>
              <w:textAlignment w:val="baseline"/>
              <w:rPr>
                <w:rFonts w:ascii="Times" w:eastAsia="SimSun" w:hAnsi="Times" w:cs="Times"/>
                <w:lang w:val="en-US" w:eastAsia="zh-CN"/>
              </w:rPr>
            </w:pPr>
            <w:r>
              <w:rPr>
                <w:rFonts w:ascii="Times" w:eastAsia="SimSun" w:hAnsi="Times" w:cs="Times"/>
                <w:lang w:val="en-US" w:eastAsia="zh-CN" w:bidi="ar"/>
              </w:rPr>
              <w:t>Inter-satellite handover with same gateway/gNB</w:t>
            </w:r>
          </w:p>
        </w:tc>
      </w:tr>
    </w:tbl>
    <w:p w14:paraId="0F9783F7" w14:textId="77777777" w:rsidR="006402B9" w:rsidRDefault="004245E6" w:rsidP="00DE76DD">
      <w:pPr>
        <w:jc w:val="both"/>
      </w:pPr>
      <w:r>
        <w:br/>
      </w:r>
      <w:r w:rsidR="005B6D9B">
        <w:t>According to RAN1, RACH-less HO is possible in the 1</w:t>
      </w:r>
      <w:r w:rsidR="005B6D9B" w:rsidRPr="005B6D9B">
        <w:rPr>
          <w:vertAlign w:val="superscript"/>
        </w:rPr>
        <w:t>st</w:t>
      </w:r>
      <w:r w:rsidR="005B6D9B">
        <w:t xml:space="preserve"> scenario (same FL, intra-satellite). This is assuming the UE will maintain UL synchronization when switching between the cells</w:t>
      </w:r>
      <w:r w:rsidR="006402B9">
        <w:t xml:space="preserve"> and</w:t>
      </w:r>
      <w:r w:rsidR="005B6D9B">
        <w:t xml:space="preserve"> will have up-to-date assistance information </w:t>
      </w:r>
      <w:r w:rsidR="006402B9">
        <w:t>for the target cell. Thus, skipping RACH during HO is possible at least for scenario 1.</w:t>
      </w:r>
    </w:p>
    <w:p w14:paraId="28811248" w14:textId="77777777" w:rsidR="00063778" w:rsidRPr="00063778" w:rsidRDefault="00063778" w:rsidP="00DE76DD">
      <w:pPr>
        <w:jc w:val="both"/>
        <w:rPr>
          <w:b/>
          <w:bCs/>
        </w:rPr>
      </w:pPr>
      <w:r w:rsidRPr="00063778">
        <w:rPr>
          <w:b/>
          <w:bCs/>
        </w:rPr>
        <w:t>Observation 11: RA procedure can be skipped in the intra-satellite scenario where the same FL is used if the UE maintains UL synchronization by applying pre-compensation using the assistance information from the target cell.</w:t>
      </w:r>
    </w:p>
    <w:p w14:paraId="74EBCD24" w14:textId="21862832" w:rsidR="00E72289" w:rsidRDefault="00063778" w:rsidP="00DE76DD">
      <w:pPr>
        <w:jc w:val="both"/>
      </w:pPr>
      <w:r>
        <w:fldChar w:fldCharType="begin"/>
      </w:r>
      <w:r>
        <w:instrText xml:space="preserve"> REF _Ref126322789 \r \h </w:instrText>
      </w:r>
      <w:r w:rsidR="00DE76DD">
        <w:instrText xml:space="preserve"> \* MERGEFORMAT </w:instrText>
      </w:r>
      <w:r>
        <w:fldChar w:fldCharType="separate"/>
      </w:r>
      <w:r>
        <w:t>[5]</w:t>
      </w:r>
      <w:r>
        <w:fldChar w:fldCharType="end"/>
      </w:r>
      <w:r>
        <w:t xml:space="preserve"> indicates RACH-less HO may be possible also in other scenarios and points to the same essential notes/conditions as suggested for scenario 1, so that RACH-less is doable.</w:t>
      </w:r>
      <w:r w:rsidR="007B4230">
        <w:t xml:space="preserve"> In our understanding, it could be possible to skip RA and make use of the TA assessed in the source cell for scenario 2, which is also intra-satellite. However, it does not seem to be straightforward for scenarios 3 and 4, wherein different satellite is considered</w:t>
      </w:r>
      <w:r w:rsidR="00E72289">
        <w:t>, so new calculations for TA may be inevitable.</w:t>
      </w:r>
    </w:p>
    <w:p w14:paraId="30831CEE" w14:textId="156439E3" w:rsidR="00E72289" w:rsidRPr="00E72289" w:rsidRDefault="00E72289" w:rsidP="00DE76DD">
      <w:pPr>
        <w:jc w:val="both"/>
        <w:rPr>
          <w:b/>
          <w:bCs/>
        </w:rPr>
      </w:pPr>
      <w:r w:rsidRPr="00E72289">
        <w:rPr>
          <w:b/>
          <w:bCs/>
        </w:rPr>
        <w:t>Observation 12: In scenario 3 and 4 (inter-satellite HO), skipping RA may not be possible due to the need to calculate new TA values.</w:t>
      </w:r>
    </w:p>
    <w:p w14:paraId="58949FE1" w14:textId="66D46340" w:rsidR="00375D3C" w:rsidRDefault="007534FE" w:rsidP="00DE76DD">
      <w:pPr>
        <w:jc w:val="both"/>
      </w:pPr>
      <w:r>
        <w:t xml:space="preserve">One important aspect that has not been discussed yet in RAN2 is what RACH-less HO actually means? Does it follow the same principles as defined in LTE Rel-14? How does the UE obtain the UL grant for the first transmission in the target cell and what </w:t>
      </w:r>
      <w:r w:rsidR="0076253E">
        <w:t>initial transmission</w:t>
      </w:r>
      <w:r>
        <w:t xml:space="preserve"> power it uses? Can RACH-less be combined with CHO for NTN? At least these aspects shall be considered in RAN2 before </w:t>
      </w:r>
      <w:r w:rsidR="0076253E">
        <w:t xml:space="preserve">widely </w:t>
      </w:r>
      <w:r>
        <w:t>agreeing RACH-less HO is doable and supported in Rel-18 NTN.</w:t>
      </w:r>
    </w:p>
    <w:p w14:paraId="064C9B55" w14:textId="6C9FA6B0" w:rsidR="004245E6" w:rsidRDefault="00375D3C" w:rsidP="00DE76DD">
      <w:pPr>
        <w:jc w:val="both"/>
        <w:rPr>
          <w:b/>
          <w:bCs/>
        </w:rPr>
      </w:pPr>
      <w:r w:rsidRPr="00375D3C">
        <w:rPr>
          <w:b/>
          <w:bCs/>
        </w:rPr>
        <w:t>Proposal 5: When defining Rel-18 RACH-less HO for NTN, RAN2 considers the following aspects: how UE obtains UL grant? How it sets the initial UL Tx power? Can RACH-less be combined with CHO?</w:t>
      </w:r>
      <w:r w:rsidR="00E72289" w:rsidRPr="00375D3C">
        <w:rPr>
          <w:b/>
          <w:bCs/>
        </w:rPr>
        <w:t xml:space="preserve"> </w:t>
      </w:r>
      <w:r w:rsidR="007B4230" w:rsidRPr="00375D3C">
        <w:rPr>
          <w:b/>
          <w:bCs/>
        </w:rPr>
        <w:t xml:space="preserve"> </w:t>
      </w:r>
      <w:r w:rsidR="006402B9" w:rsidRPr="00375D3C">
        <w:rPr>
          <w:b/>
          <w:bCs/>
        </w:rPr>
        <w:t xml:space="preserve"> </w:t>
      </w:r>
    </w:p>
    <w:p w14:paraId="6FDFB409" w14:textId="77777777" w:rsidR="006D3B8A" w:rsidRDefault="006D3B8A" w:rsidP="00DE76DD">
      <w:pPr>
        <w:pStyle w:val="Heading2"/>
        <w:jc w:val="both"/>
      </w:pPr>
      <w:r>
        <w:t xml:space="preserve">2.5 </w:t>
      </w:r>
      <w:r>
        <w:tab/>
        <w:t>Enhancements to time-based triggering to support CHO recovery in NTN</w:t>
      </w:r>
    </w:p>
    <w:p w14:paraId="740AB6BA" w14:textId="77777777" w:rsidR="006D3B8A" w:rsidRDefault="006D3B8A" w:rsidP="00DE76DD">
      <w:pPr>
        <w:jc w:val="both"/>
      </w:pPr>
      <w:r>
        <w:t>In RAN2#118, the following agreement was made:</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0"/>
      </w:tblGrid>
      <w:tr w:rsidR="006D3B8A" w14:paraId="55AE4BAA" w14:textId="77777777" w:rsidTr="00596A1B">
        <w:trPr>
          <w:trHeight w:val="580"/>
        </w:trPr>
        <w:tc>
          <w:tcPr>
            <w:tcW w:w="9510" w:type="dxa"/>
          </w:tcPr>
          <w:p w14:paraId="5A10E858" w14:textId="77777777" w:rsidR="006D3B8A" w:rsidRDefault="006D3B8A" w:rsidP="00DE76DD">
            <w:pPr>
              <w:ind w:left="23"/>
              <w:jc w:val="both"/>
            </w:pPr>
            <w:r w:rsidRPr="005C1A5D">
              <w:rPr>
                <w:highlight w:val="yellow"/>
              </w:rPr>
              <w:t xml:space="preserve">During CHO recovery in NTN the UE checks if the timer T2 has not expired before it can use CHO configuration for </w:t>
            </w:r>
            <w:r w:rsidRPr="009F5146">
              <w:rPr>
                <w:highlight w:val="yellow"/>
              </w:rPr>
              <w:t>recovery.</w:t>
            </w:r>
          </w:p>
        </w:tc>
      </w:tr>
    </w:tbl>
    <w:p w14:paraId="71A2C30A" w14:textId="288D75F4" w:rsidR="00F4482A" w:rsidRDefault="00571DF0" w:rsidP="00DE76DD">
      <w:pPr>
        <w:jc w:val="both"/>
      </w:pPr>
      <w:r>
        <w:br/>
      </w:r>
      <w:r w:rsidR="006D3B8A">
        <w:t>The above might mean that, after T2, the CHO configuration may be discarded by the UE.</w:t>
      </w:r>
      <w:r w:rsidR="00F4482A">
        <w:t xml:space="preserve"> This applies also to the case when CHO recovery has been configured. We believe the Rel-17 decision on not allowing subsequent (i.e. beyond T2) CHO recovery was not optimal and could be reconsidered. </w:t>
      </w:r>
    </w:p>
    <w:p w14:paraId="28E2C12C" w14:textId="13C15850" w:rsidR="006D3B8A" w:rsidRDefault="00F4482A" w:rsidP="00DE76DD">
      <w:pPr>
        <w:jc w:val="both"/>
      </w:pPr>
      <w:r w:rsidRPr="00571DF0">
        <w:rPr>
          <w:b/>
          <w:bCs/>
        </w:rPr>
        <w:t xml:space="preserve">Proposal 6: Reconsider if CHO Recovery beyond the duration window of time-based CHO shall be allowed. </w:t>
      </w:r>
      <w:r w:rsidR="006D3B8A">
        <w:t xml:space="preserve"> </w:t>
      </w:r>
    </w:p>
    <w:p w14:paraId="69B7B8E6" w14:textId="69E07FC9" w:rsidR="009339CB" w:rsidRPr="007438C6" w:rsidRDefault="005A13AB" w:rsidP="00DE76DD">
      <w:pPr>
        <w:pStyle w:val="Heading1"/>
        <w:jc w:val="both"/>
      </w:pPr>
      <w:r w:rsidRPr="007438C6">
        <w:t>3</w:t>
      </w:r>
      <w:r w:rsidR="009339CB" w:rsidRPr="007438C6">
        <w:tab/>
        <w:t>Conclusion</w:t>
      </w:r>
    </w:p>
    <w:p w14:paraId="6E24B0F4" w14:textId="27F1EDEF" w:rsidR="009339CB" w:rsidRDefault="00EA6D34" w:rsidP="00DE76DD">
      <w:pPr>
        <w:jc w:val="both"/>
      </w:pPr>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65B483DD" w14:textId="77777777" w:rsidR="00E11804" w:rsidRDefault="00E11804" w:rsidP="00DE76DD">
      <w:pPr>
        <w:jc w:val="both"/>
        <w:rPr>
          <w:b/>
          <w:bCs/>
        </w:rPr>
      </w:pPr>
      <w:r w:rsidRPr="006513E9">
        <w:rPr>
          <w:b/>
          <w:bCs/>
        </w:rPr>
        <w:t xml:space="preserve">Proposal 1: RAN2 is asked to study if </w:t>
      </w:r>
      <w:r>
        <w:rPr>
          <w:b/>
          <w:bCs/>
        </w:rPr>
        <w:t xml:space="preserve">the </w:t>
      </w:r>
      <w:r w:rsidRPr="006513E9">
        <w:rPr>
          <w:b/>
          <w:bCs/>
        </w:rPr>
        <w:t>fa</w:t>
      </w:r>
      <w:r>
        <w:rPr>
          <w:b/>
          <w:bCs/>
        </w:rPr>
        <w:t>ct</w:t>
      </w:r>
      <w:r w:rsidRPr="006513E9">
        <w:rPr>
          <w:b/>
          <w:bCs/>
        </w:rPr>
        <w:t xml:space="preserve"> that </w:t>
      </w:r>
      <w:r>
        <w:rPr>
          <w:b/>
          <w:bCs/>
        </w:rPr>
        <w:t xml:space="preserve">the </w:t>
      </w:r>
      <w:r w:rsidRPr="006513E9">
        <w:rPr>
          <w:b/>
          <w:bCs/>
        </w:rPr>
        <w:t>next serving cells can be largely predicted in NTN Earth-moving scenario can be used to improve the mobility performance – for both the network and the UEs.</w:t>
      </w:r>
    </w:p>
    <w:p w14:paraId="02095DEA" w14:textId="77777777" w:rsidR="00E11804" w:rsidRPr="00C1387B" w:rsidRDefault="00E11804" w:rsidP="00DE76DD">
      <w:pPr>
        <w:jc w:val="both"/>
        <w:rPr>
          <w:b/>
          <w:bCs/>
        </w:rPr>
      </w:pPr>
      <w:r w:rsidRPr="00C1387B">
        <w:rPr>
          <w:b/>
          <w:bCs/>
        </w:rPr>
        <w:t>Observation 1: In EMC (NTN LEO scenario) the UE is commanded to perform HO approximately every 5 seconds</w:t>
      </w:r>
      <w:r>
        <w:rPr>
          <w:b/>
          <w:bCs/>
        </w:rPr>
        <w:t xml:space="preserve"> if the cell diameter is approximately 50 km. For smaller cells the rate could go down to even 2.5 s</w:t>
      </w:r>
      <w:r w:rsidRPr="00C1387B">
        <w:rPr>
          <w:b/>
          <w:bCs/>
        </w:rPr>
        <w:t>.</w:t>
      </w:r>
    </w:p>
    <w:p w14:paraId="17487134" w14:textId="41F65413" w:rsidR="00E11804" w:rsidRPr="004D73D3" w:rsidRDefault="00E11804" w:rsidP="00DE76DD">
      <w:pPr>
        <w:jc w:val="both"/>
        <w:rPr>
          <w:b/>
          <w:bCs/>
        </w:rPr>
      </w:pPr>
      <w:r w:rsidRPr="004D73D3">
        <w:rPr>
          <w:b/>
          <w:bCs/>
        </w:rPr>
        <w:t>Observation 2: In NTN LEO sending a HO command to the UE every ~</w:t>
      </w:r>
      <w:r w:rsidR="00A01FB1">
        <w:rPr>
          <w:b/>
          <w:bCs/>
        </w:rPr>
        <w:t>2.</w:t>
      </w:r>
      <w:r w:rsidRPr="004D73D3">
        <w:rPr>
          <w:b/>
          <w:bCs/>
        </w:rPr>
        <w:t>5 seconds can be avoided if the UE is prepared in advance with CHO configurations for cells beyond the next cell change.</w:t>
      </w:r>
    </w:p>
    <w:p w14:paraId="13F12C7E" w14:textId="77777777" w:rsidR="00E11804" w:rsidRPr="00347760" w:rsidRDefault="00E11804" w:rsidP="00DE76DD">
      <w:pPr>
        <w:jc w:val="both"/>
        <w:rPr>
          <w:b/>
          <w:bCs/>
        </w:rPr>
      </w:pPr>
      <w:r w:rsidRPr="00347760">
        <w:rPr>
          <w:b/>
          <w:bCs/>
        </w:rPr>
        <w:lastRenderedPageBreak/>
        <w:t>Observation 3: Delta configuration can be used to provide subsequent CHO configurations, to signalling overhead in the initiating serving cell does not have to be excessive.</w:t>
      </w:r>
    </w:p>
    <w:p w14:paraId="23558326" w14:textId="77777777" w:rsidR="00E11804" w:rsidRPr="00213247" w:rsidRDefault="00E11804" w:rsidP="00DE76DD">
      <w:pPr>
        <w:jc w:val="both"/>
        <w:rPr>
          <w:b/>
          <w:bCs/>
        </w:rPr>
      </w:pPr>
      <w:r w:rsidRPr="00213247">
        <w:rPr>
          <w:b/>
          <w:bCs/>
        </w:rPr>
        <w:t>Observation 4: As the average time of stay in the cell can be estimated in NTN EMC, it can be predicted since when the resources are needed in particular cell for a particular UE.</w:t>
      </w:r>
    </w:p>
    <w:p w14:paraId="5DBB3B6F" w14:textId="77777777" w:rsidR="00E11804" w:rsidRPr="00F266F3" w:rsidRDefault="00E11804" w:rsidP="00DE76DD">
      <w:pPr>
        <w:jc w:val="both"/>
        <w:rPr>
          <w:b/>
          <w:bCs/>
        </w:rPr>
      </w:pPr>
      <w:r w:rsidRPr="00F266F3">
        <w:rPr>
          <w:b/>
          <w:bCs/>
        </w:rPr>
        <w:t>Proposal 2: RAN2 is asked to study how the UE can be provided with CHO configurations for cells beyond the next cell change (future candidate cells).</w:t>
      </w:r>
    </w:p>
    <w:p w14:paraId="22AF180E" w14:textId="77777777" w:rsidR="00E11804" w:rsidRPr="00CB49EC" w:rsidRDefault="00E11804" w:rsidP="00DE76DD">
      <w:pPr>
        <w:jc w:val="both"/>
        <w:rPr>
          <w:b/>
          <w:bCs/>
        </w:rPr>
      </w:pPr>
      <w:r w:rsidRPr="00CB49EC">
        <w:rPr>
          <w:b/>
          <w:bCs/>
        </w:rPr>
        <w:t>Observation 5: In group HO scheme it remains unclear how multiple UEs can use the same HO command which is considered to be a UE-specific configuration.</w:t>
      </w:r>
    </w:p>
    <w:p w14:paraId="0976A646" w14:textId="77777777" w:rsidR="00E11804" w:rsidRPr="00DA3B55" w:rsidRDefault="00E11804" w:rsidP="00DE76DD">
      <w:pPr>
        <w:jc w:val="both"/>
        <w:rPr>
          <w:b/>
          <w:bCs/>
        </w:rPr>
      </w:pPr>
      <w:r w:rsidRPr="00DA3B55">
        <w:rPr>
          <w:b/>
          <w:bCs/>
        </w:rPr>
        <w:t>Observation 6: There is no signalling reduction even if mobility preparation is divided into pre-configuration and subsequent indication to perform cell change. Each UE is anyway configured individually with HO command.</w:t>
      </w:r>
    </w:p>
    <w:p w14:paraId="5AB1199F" w14:textId="77777777" w:rsidR="00E11804" w:rsidRPr="00450122" w:rsidRDefault="00E11804" w:rsidP="00DE76DD">
      <w:pPr>
        <w:jc w:val="both"/>
        <w:rPr>
          <w:b/>
          <w:bCs/>
        </w:rPr>
      </w:pPr>
      <w:r w:rsidRPr="00450122">
        <w:rPr>
          <w:b/>
          <w:bCs/>
        </w:rPr>
        <w:t>Observation 7: Time-based CHO triggering (defined in Rel-17) can achieve similar goal as proposed group HO scheme. Additionally, it does not require signalling to trigger the actual cell change.</w:t>
      </w:r>
    </w:p>
    <w:p w14:paraId="501DD7B7" w14:textId="77777777" w:rsidR="00E11804" w:rsidRPr="00F366BD" w:rsidRDefault="00E11804" w:rsidP="00DE76DD">
      <w:pPr>
        <w:jc w:val="both"/>
        <w:rPr>
          <w:b/>
          <w:bCs/>
        </w:rPr>
      </w:pPr>
      <w:r w:rsidRPr="00F366BD">
        <w:rPr>
          <w:b/>
          <w:bCs/>
        </w:rPr>
        <w:t>Proposal 3: Group HO or HO command pre-configuration is not pursued as a part of Rel-18 NTN enhancements unless clear gains are shown.</w:t>
      </w:r>
    </w:p>
    <w:p w14:paraId="0F9EA593" w14:textId="77777777" w:rsidR="004F2432" w:rsidRPr="00234560" w:rsidRDefault="004F2432" w:rsidP="00DE76DD">
      <w:pPr>
        <w:jc w:val="both"/>
        <w:rPr>
          <w:b/>
          <w:bCs/>
        </w:rPr>
      </w:pPr>
      <w:r w:rsidRPr="00234560">
        <w:rPr>
          <w:b/>
          <w:bCs/>
        </w:rPr>
        <w:t xml:space="preserve">Observation 8: If the PCI is reused after satellite switches, the UE may consider the cell remains the same. However, a Random Access to switch the beam is needed anyway. </w:t>
      </w:r>
    </w:p>
    <w:p w14:paraId="4B6326DF" w14:textId="77777777" w:rsidR="004F2432" w:rsidRPr="00D91425" w:rsidRDefault="004F2432" w:rsidP="00DE76DD">
      <w:pPr>
        <w:jc w:val="both"/>
        <w:rPr>
          <w:b/>
          <w:bCs/>
        </w:rPr>
      </w:pPr>
      <w:r w:rsidRPr="00D91425">
        <w:rPr>
          <w:b/>
          <w:bCs/>
        </w:rPr>
        <w:t>Observation 9: For reusing PCI when satellite changes, there are two distinguishable cases: hard-switching and soft-switching.</w:t>
      </w:r>
    </w:p>
    <w:p w14:paraId="48806DB8" w14:textId="77777777" w:rsidR="004F2432" w:rsidRPr="00A27F8A" w:rsidRDefault="004F2432" w:rsidP="00DE76DD">
      <w:pPr>
        <w:jc w:val="both"/>
        <w:rPr>
          <w:b/>
          <w:bCs/>
        </w:rPr>
      </w:pPr>
      <w:r w:rsidRPr="00A27F8A">
        <w:rPr>
          <w:b/>
          <w:bCs/>
        </w:rPr>
        <w:t>Observation 10: There is a number of issues to resolve for reusing PCI after satellite switches</w:t>
      </w:r>
      <w:r>
        <w:rPr>
          <w:b/>
          <w:bCs/>
        </w:rPr>
        <w:t>, e.g.</w:t>
      </w:r>
      <w:r w:rsidRPr="00A27F8A">
        <w:rPr>
          <w:b/>
          <w:bCs/>
        </w:rPr>
        <w:t xml:space="preserve"> how to avoid RLF, the need to perform RA</w:t>
      </w:r>
      <w:r>
        <w:rPr>
          <w:b/>
          <w:bCs/>
        </w:rPr>
        <w:t xml:space="preserve"> or inter-cell</w:t>
      </w:r>
      <w:r w:rsidRPr="00A27F8A">
        <w:rPr>
          <w:b/>
          <w:bCs/>
        </w:rPr>
        <w:t xml:space="preserve"> resource coordination. </w:t>
      </w:r>
    </w:p>
    <w:p w14:paraId="1D8E957B" w14:textId="29C1B5B9" w:rsidR="00E11804" w:rsidRPr="006513E9" w:rsidRDefault="004F2432" w:rsidP="00DE76DD">
      <w:pPr>
        <w:jc w:val="both"/>
        <w:rPr>
          <w:b/>
          <w:bCs/>
        </w:rPr>
      </w:pPr>
      <w:r w:rsidRPr="0065044C">
        <w:rPr>
          <w:b/>
          <w:bCs/>
        </w:rPr>
        <w:t>Proposal 4: Reusing PCI after satellite switches is not pursued as a part of Rel-18 NTN, unless the gains are clearly proven and identified issues can be easily resolved.</w:t>
      </w:r>
    </w:p>
    <w:p w14:paraId="0CA49863" w14:textId="77777777" w:rsidR="004F2432" w:rsidRPr="00063778" w:rsidRDefault="004F2432" w:rsidP="00DE76DD">
      <w:pPr>
        <w:jc w:val="both"/>
        <w:rPr>
          <w:b/>
          <w:bCs/>
        </w:rPr>
      </w:pPr>
      <w:r w:rsidRPr="00063778">
        <w:rPr>
          <w:b/>
          <w:bCs/>
        </w:rPr>
        <w:t>Observation 11: RA procedure can be skipped in the intra-satellite scenario where the same FL is used if the UE maintains UL synchronization by applying pre-compensation using the assistance information from the target cell.</w:t>
      </w:r>
    </w:p>
    <w:p w14:paraId="509ED859" w14:textId="77777777" w:rsidR="004F2432" w:rsidRPr="00E72289" w:rsidRDefault="004F2432" w:rsidP="00DE76DD">
      <w:pPr>
        <w:jc w:val="both"/>
        <w:rPr>
          <w:b/>
          <w:bCs/>
        </w:rPr>
      </w:pPr>
      <w:r w:rsidRPr="00E72289">
        <w:rPr>
          <w:b/>
          <w:bCs/>
        </w:rPr>
        <w:t>Observation 12: In scenario 3 and 4 (inter-satellite HO), skipping RA may not be possible due to the need to calculate new TA values.</w:t>
      </w:r>
    </w:p>
    <w:p w14:paraId="367D6984" w14:textId="77777777" w:rsidR="004F2432" w:rsidRDefault="004F2432" w:rsidP="00DE76DD">
      <w:pPr>
        <w:jc w:val="both"/>
        <w:rPr>
          <w:b/>
          <w:bCs/>
        </w:rPr>
      </w:pPr>
      <w:r w:rsidRPr="00375D3C">
        <w:rPr>
          <w:b/>
          <w:bCs/>
        </w:rPr>
        <w:t xml:space="preserve">Proposal 5: When defining Rel-18 RACH-less HO for NTN, RAN2 considers the following aspects: how UE obtains UL grant? How it sets the initial UL Tx power? Can RACH-less be combined with CHO?   </w:t>
      </w:r>
    </w:p>
    <w:p w14:paraId="35F222F4" w14:textId="38283F8F" w:rsidR="00080512" w:rsidRPr="00571DF0" w:rsidRDefault="004F2432" w:rsidP="00DE76DD">
      <w:pPr>
        <w:jc w:val="both"/>
      </w:pPr>
      <w:r w:rsidRPr="00624E3B">
        <w:rPr>
          <w:b/>
          <w:bCs/>
        </w:rPr>
        <w:t xml:space="preserve">Proposal 6: Reconsider if CHO Recovery beyond the duration window of time-based CHO shall be allowed. </w:t>
      </w:r>
      <w:r>
        <w:t xml:space="preserve"> </w:t>
      </w:r>
    </w:p>
    <w:p w14:paraId="64C1C004" w14:textId="292CBA63" w:rsidR="0025571F" w:rsidRPr="007438C6" w:rsidRDefault="0025571F" w:rsidP="00DE76DD">
      <w:pPr>
        <w:pStyle w:val="Heading1"/>
        <w:jc w:val="both"/>
      </w:pPr>
      <w:r w:rsidRPr="007438C6">
        <w:t>References</w:t>
      </w:r>
    </w:p>
    <w:p w14:paraId="33F72482" w14:textId="085FF0E2" w:rsidR="0025571F" w:rsidRDefault="0025571F" w:rsidP="00DE76DD">
      <w:pPr>
        <w:pStyle w:val="ListParagraph"/>
        <w:numPr>
          <w:ilvl w:val="0"/>
          <w:numId w:val="8"/>
        </w:numPr>
        <w:jc w:val="both"/>
      </w:pPr>
      <w:bookmarkStart w:id="0" w:name="_Ref117785152"/>
      <w:r w:rsidRPr="007438C6">
        <w:t>R2-221080</w:t>
      </w:r>
      <w:r w:rsidR="009603BA">
        <w:t>1</w:t>
      </w:r>
      <w:r w:rsidR="00B93113">
        <w:t xml:space="preserve"> </w:t>
      </w:r>
      <w:r w:rsidR="009603BA" w:rsidRPr="009603BA">
        <w:t>Report from Break-out session on NR-NTN and IoT-NTN</w:t>
      </w:r>
      <w:r w:rsidRPr="007438C6">
        <w:t xml:space="preserve"> 3GPP TSG RAN2 Meeting #119bis Electronic Meeting, Oct 10 - 19, 2022</w:t>
      </w:r>
      <w:bookmarkEnd w:id="0"/>
    </w:p>
    <w:p w14:paraId="0299ADA8" w14:textId="73000334" w:rsidR="00D85034" w:rsidRDefault="007438C6" w:rsidP="00DE76DD">
      <w:pPr>
        <w:pStyle w:val="ListParagraph"/>
        <w:numPr>
          <w:ilvl w:val="0"/>
          <w:numId w:val="8"/>
        </w:numPr>
        <w:jc w:val="both"/>
      </w:pPr>
      <w:bookmarkStart w:id="1" w:name="_Ref117872520"/>
      <w:r w:rsidRPr="009D32B7">
        <w:t>R2-2</w:t>
      </w:r>
      <w:r w:rsidR="00C75241" w:rsidRPr="009D32B7">
        <w:t>3</w:t>
      </w:r>
      <w:r w:rsidR="009D32B7" w:rsidRPr="009D32B7">
        <w:t>00476</w:t>
      </w:r>
      <w:r w:rsidR="0005772F" w:rsidRPr="009D32B7">
        <w:t xml:space="preserve"> </w:t>
      </w:r>
      <w:r w:rsidR="00E13AEF">
        <w:t xml:space="preserve">On Enhanced Cell Reselection </w:t>
      </w:r>
      <w:r w:rsidR="001506A5">
        <w:t>in Rel-18 NTN</w:t>
      </w:r>
      <w:r w:rsidR="00E42E11" w:rsidRPr="009D32B7">
        <w:t xml:space="preserve"> 3GPP</w:t>
      </w:r>
      <w:r w:rsidR="00E42E11" w:rsidRPr="007438C6">
        <w:t xml:space="preserve"> TSG RAN2 Meeting #1</w:t>
      </w:r>
      <w:r w:rsidR="00E42E11">
        <w:t>2</w:t>
      </w:r>
      <w:r w:rsidR="00C75241">
        <w:t>1</w:t>
      </w:r>
      <w:r w:rsidR="00E42E11" w:rsidRPr="007438C6">
        <w:t xml:space="preserve"> </w:t>
      </w:r>
      <w:r w:rsidR="00C75241">
        <w:t>Athens</w:t>
      </w:r>
      <w:r w:rsidR="00E42E11">
        <w:t xml:space="preserve">, </w:t>
      </w:r>
      <w:r w:rsidR="00C75241">
        <w:t>Greece</w:t>
      </w:r>
      <w:r w:rsidR="00E42E11" w:rsidRPr="007438C6">
        <w:t xml:space="preserve">, </w:t>
      </w:r>
      <w:r w:rsidR="00C75241">
        <w:t>Feb</w:t>
      </w:r>
      <w:r w:rsidR="00E42E11" w:rsidRPr="007438C6">
        <w:t xml:space="preserve"> </w:t>
      </w:r>
      <w:r w:rsidR="00C75241">
        <w:t>27</w:t>
      </w:r>
      <w:r w:rsidR="00C75241" w:rsidRPr="00C75241">
        <w:rPr>
          <w:vertAlign w:val="superscript"/>
        </w:rPr>
        <w:t>th</w:t>
      </w:r>
      <w:r w:rsidR="00C75241">
        <w:t xml:space="preserve"> </w:t>
      </w:r>
      <w:r w:rsidR="00E42E11">
        <w:t>–</w:t>
      </w:r>
      <w:r w:rsidR="00E42E11" w:rsidRPr="007438C6">
        <w:t xml:space="preserve"> </w:t>
      </w:r>
      <w:r w:rsidR="00C75241">
        <w:t>Mar 3</w:t>
      </w:r>
      <w:r w:rsidR="00C75241" w:rsidRPr="00C75241">
        <w:rPr>
          <w:vertAlign w:val="superscript"/>
        </w:rPr>
        <w:t>rd</w:t>
      </w:r>
      <w:r w:rsidR="00C75241">
        <w:t xml:space="preserve"> </w:t>
      </w:r>
      <w:r w:rsidR="00E42E11" w:rsidRPr="007438C6">
        <w:t>202</w:t>
      </w:r>
      <w:bookmarkEnd w:id="1"/>
      <w:r w:rsidR="00C75241">
        <w:t>3</w:t>
      </w:r>
    </w:p>
    <w:p w14:paraId="7970B85A" w14:textId="101712F3" w:rsidR="00E70EA3" w:rsidRDefault="00E70EA3" w:rsidP="00DE76DD">
      <w:pPr>
        <w:pStyle w:val="ListParagraph"/>
        <w:numPr>
          <w:ilvl w:val="0"/>
          <w:numId w:val="8"/>
        </w:numPr>
        <w:jc w:val="both"/>
      </w:pPr>
      <w:bookmarkStart w:id="2" w:name="_Ref118098649"/>
      <w:r>
        <w:t xml:space="preserve">R2-2210353 </w:t>
      </w:r>
      <w:r w:rsidRPr="00E70EA3">
        <w:t>Further view on Idle- and Connected-mode NTN mobility in Rel-18</w:t>
      </w:r>
      <w:r>
        <w:t xml:space="preserve"> </w:t>
      </w:r>
      <w:r w:rsidRPr="007438C6">
        <w:t>3GPP TSG RAN2 Meeting #119bis Electronic Meeting, Oct 10 - 19, 2022</w:t>
      </w:r>
      <w:bookmarkEnd w:id="2"/>
    </w:p>
    <w:p w14:paraId="23DED7D9" w14:textId="5CD63650" w:rsidR="00097281" w:rsidRDefault="00097281" w:rsidP="00DE76DD">
      <w:pPr>
        <w:pStyle w:val="ListParagraph"/>
        <w:numPr>
          <w:ilvl w:val="0"/>
          <w:numId w:val="8"/>
        </w:numPr>
        <w:jc w:val="both"/>
      </w:pPr>
      <w:bookmarkStart w:id="3" w:name="_Ref118101565"/>
      <w:r w:rsidRPr="00097281">
        <w:t>E. Juan, M. Lauridsen, J. Wigard and P. E. Mogensen, "5G New Radio Mobility Performance in LEO-based Non-Terrestrial Networks," 2020 IEEE Globecom Workshops</w:t>
      </w:r>
      <w:bookmarkEnd w:id="3"/>
    </w:p>
    <w:p w14:paraId="20EE7DD2" w14:textId="592CA299" w:rsidR="0086340F" w:rsidRPr="007438C6" w:rsidRDefault="0086340F" w:rsidP="00DE76DD">
      <w:pPr>
        <w:pStyle w:val="ListParagraph"/>
        <w:numPr>
          <w:ilvl w:val="0"/>
          <w:numId w:val="8"/>
        </w:numPr>
        <w:jc w:val="both"/>
      </w:pPr>
      <w:bookmarkStart w:id="4" w:name="_Ref126322789"/>
      <w:r w:rsidRPr="0086340F">
        <w:t>R1-2213001</w:t>
      </w:r>
      <w:r>
        <w:t xml:space="preserve"> </w:t>
      </w:r>
      <w:r w:rsidRPr="0086340F">
        <w:t>Reply LS on RACH-less handover in NTN</w:t>
      </w:r>
      <w:r>
        <w:t xml:space="preserve"> </w:t>
      </w:r>
      <w:r w:rsidRPr="007438C6">
        <w:t>3GPP TSG RAN</w:t>
      </w:r>
      <w:r>
        <w:t>1</w:t>
      </w:r>
      <w:r w:rsidRPr="007438C6">
        <w:t xml:space="preserve"> Meeting #1</w:t>
      </w:r>
      <w:r>
        <w:t>11</w:t>
      </w:r>
      <w:r w:rsidRPr="007438C6">
        <w:t xml:space="preserve"> </w:t>
      </w:r>
      <w:r>
        <w:t>Toulouse, France</w:t>
      </w:r>
      <w:r w:rsidRPr="007438C6">
        <w:t xml:space="preserve">, </w:t>
      </w:r>
      <w:r>
        <w:t>Nov</w:t>
      </w:r>
      <w:r w:rsidRPr="007438C6">
        <w:t xml:space="preserve"> 1</w:t>
      </w:r>
      <w:r>
        <w:t>4</w:t>
      </w:r>
      <w:r w:rsidRPr="007438C6">
        <w:t xml:space="preserve"> </w:t>
      </w:r>
      <w:r>
        <w:t>–</w:t>
      </w:r>
      <w:r w:rsidRPr="007438C6">
        <w:t xml:space="preserve"> 1</w:t>
      </w:r>
      <w:r>
        <w:t>8,</w:t>
      </w:r>
      <w:r w:rsidRPr="007438C6">
        <w:t xml:space="preserve"> 2022</w:t>
      </w:r>
      <w:bookmarkEnd w:id="4"/>
    </w:p>
    <w:sectPr w:rsidR="0086340F" w:rsidRPr="007438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B4CE8" w14:textId="77777777" w:rsidR="00C15442" w:rsidRDefault="00C15442">
      <w:r>
        <w:separator/>
      </w:r>
    </w:p>
  </w:endnote>
  <w:endnote w:type="continuationSeparator" w:id="0">
    <w:p w14:paraId="41240447" w14:textId="77777777" w:rsidR="00C15442" w:rsidRDefault="00C15442">
      <w:r>
        <w:continuationSeparator/>
      </w:r>
    </w:p>
  </w:endnote>
  <w:endnote w:type="continuationNotice" w:id="1">
    <w:p w14:paraId="2828DD82" w14:textId="77777777" w:rsidR="00C15442" w:rsidRDefault="00C1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F908" w14:textId="77777777" w:rsidR="00C15442" w:rsidRDefault="00C15442">
      <w:r>
        <w:separator/>
      </w:r>
    </w:p>
  </w:footnote>
  <w:footnote w:type="continuationSeparator" w:id="0">
    <w:p w14:paraId="66AC3D72" w14:textId="77777777" w:rsidR="00C15442" w:rsidRDefault="00C15442">
      <w:r>
        <w:continuationSeparator/>
      </w:r>
    </w:p>
  </w:footnote>
  <w:footnote w:type="continuationNotice" w:id="1">
    <w:p w14:paraId="34279413" w14:textId="77777777" w:rsidR="00C15442" w:rsidRDefault="00C15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4" w15:restartNumberingAfterBreak="0">
    <w:nsid w:val="1FA368BE"/>
    <w:multiLevelType w:val="hybridMultilevel"/>
    <w:tmpl w:val="136C5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5A0E6A"/>
    <w:multiLevelType w:val="hybridMultilevel"/>
    <w:tmpl w:val="2324774A"/>
    <w:lvl w:ilvl="0" w:tplc="0809000F">
      <w:start w:val="1"/>
      <w:numFmt w:val="decimal"/>
      <w:lvlText w:val="%1."/>
      <w:lvlJc w:val="left"/>
      <w:pPr>
        <w:ind w:left="720" w:hanging="360"/>
      </w:pPr>
    </w:lvl>
    <w:lvl w:ilvl="1" w:tplc="CE6C9F1A">
      <w:numFmt w:val="bullet"/>
      <w:lvlText w:val="•"/>
      <w:lvlJc w:val="left"/>
      <w:pPr>
        <w:ind w:left="1440" w:hanging="360"/>
      </w:pPr>
      <w:rPr>
        <w:rFonts w:ascii="Arial" w:eastAsia="MS Mincho" w:hAnsi="Arial" w:cs="Aria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926A2F"/>
    <w:multiLevelType w:val="hybridMultilevel"/>
    <w:tmpl w:val="9FFE5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9"/>
  </w:num>
  <w:num w:numId="7">
    <w:abstractNumId w:val="10"/>
  </w:num>
  <w:num w:numId="8">
    <w:abstractNumId w:val="7"/>
  </w:num>
  <w:num w:numId="9">
    <w:abstractNumId w:val="13"/>
  </w:num>
  <w:num w:numId="10">
    <w:abstractNumId w:val="11"/>
  </w:num>
  <w:num w:numId="11">
    <w:abstractNumId w:val="12"/>
  </w:num>
  <w:num w:numId="12">
    <w:abstractNumId w:val="4"/>
  </w:num>
  <w:num w:numId="13">
    <w:abstractNumId w:val="0"/>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tzQGIgNjEyNjAyUdpeDU4uLM/DyQAsNaAPXDdOAsAAAA"/>
  </w:docVars>
  <w:rsids>
    <w:rsidRoot w:val="000B7BCF"/>
    <w:rsid w:val="00004BEF"/>
    <w:rsid w:val="00004C3A"/>
    <w:rsid w:val="00006C10"/>
    <w:rsid w:val="00016557"/>
    <w:rsid w:val="00023C40"/>
    <w:rsid w:val="00033397"/>
    <w:rsid w:val="00040095"/>
    <w:rsid w:val="0005772F"/>
    <w:rsid w:val="00063778"/>
    <w:rsid w:val="00065268"/>
    <w:rsid w:val="0006651B"/>
    <w:rsid w:val="00073C9C"/>
    <w:rsid w:val="0007567A"/>
    <w:rsid w:val="00076412"/>
    <w:rsid w:val="00080512"/>
    <w:rsid w:val="00090468"/>
    <w:rsid w:val="00094568"/>
    <w:rsid w:val="000953B2"/>
    <w:rsid w:val="00097281"/>
    <w:rsid w:val="000A43A7"/>
    <w:rsid w:val="000B7BCF"/>
    <w:rsid w:val="000C522B"/>
    <w:rsid w:val="000C7C6E"/>
    <w:rsid w:val="000D29D3"/>
    <w:rsid w:val="000D58AB"/>
    <w:rsid w:val="000D6478"/>
    <w:rsid w:val="000E4A99"/>
    <w:rsid w:val="00107AD4"/>
    <w:rsid w:val="001129A3"/>
    <w:rsid w:val="00112F1A"/>
    <w:rsid w:val="00124030"/>
    <w:rsid w:val="001365C0"/>
    <w:rsid w:val="00145075"/>
    <w:rsid w:val="00146A71"/>
    <w:rsid w:val="001506A5"/>
    <w:rsid w:val="001601E6"/>
    <w:rsid w:val="001667DA"/>
    <w:rsid w:val="001741A0"/>
    <w:rsid w:val="00175FA0"/>
    <w:rsid w:val="00194CD0"/>
    <w:rsid w:val="001B49C9"/>
    <w:rsid w:val="001B549A"/>
    <w:rsid w:val="001C23F4"/>
    <w:rsid w:val="001C4F79"/>
    <w:rsid w:val="001E637B"/>
    <w:rsid w:val="001F168B"/>
    <w:rsid w:val="001F7831"/>
    <w:rsid w:val="00204045"/>
    <w:rsid w:val="0020712B"/>
    <w:rsid w:val="00213247"/>
    <w:rsid w:val="0022606D"/>
    <w:rsid w:val="00231728"/>
    <w:rsid w:val="00231C27"/>
    <w:rsid w:val="00232E62"/>
    <w:rsid w:val="0023444A"/>
    <w:rsid w:val="00234560"/>
    <w:rsid w:val="0024423B"/>
    <w:rsid w:val="00244A05"/>
    <w:rsid w:val="00250404"/>
    <w:rsid w:val="0025571F"/>
    <w:rsid w:val="002561FE"/>
    <w:rsid w:val="00256B74"/>
    <w:rsid w:val="00257DF2"/>
    <w:rsid w:val="002610D8"/>
    <w:rsid w:val="00271BAD"/>
    <w:rsid w:val="002747EC"/>
    <w:rsid w:val="002855BF"/>
    <w:rsid w:val="00292DD1"/>
    <w:rsid w:val="00297217"/>
    <w:rsid w:val="002B2988"/>
    <w:rsid w:val="002D5C14"/>
    <w:rsid w:val="002D7C51"/>
    <w:rsid w:val="002F0D22"/>
    <w:rsid w:val="00310F47"/>
    <w:rsid w:val="00311B17"/>
    <w:rsid w:val="003172DC"/>
    <w:rsid w:val="00320F70"/>
    <w:rsid w:val="00325AE3"/>
    <w:rsid w:val="00326069"/>
    <w:rsid w:val="00342481"/>
    <w:rsid w:val="00347760"/>
    <w:rsid w:val="0035462D"/>
    <w:rsid w:val="00354783"/>
    <w:rsid w:val="0036459E"/>
    <w:rsid w:val="00364B41"/>
    <w:rsid w:val="00375D3C"/>
    <w:rsid w:val="00383096"/>
    <w:rsid w:val="0039346C"/>
    <w:rsid w:val="003A41EF"/>
    <w:rsid w:val="003B40AD"/>
    <w:rsid w:val="003C4E37"/>
    <w:rsid w:val="003C7C62"/>
    <w:rsid w:val="003E0BBE"/>
    <w:rsid w:val="003E16BE"/>
    <w:rsid w:val="003F327E"/>
    <w:rsid w:val="003F4E28"/>
    <w:rsid w:val="003F64AA"/>
    <w:rsid w:val="004006E8"/>
    <w:rsid w:val="00401855"/>
    <w:rsid w:val="00413F54"/>
    <w:rsid w:val="00421079"/>
    <w:rsid w:val="004245E6"/>
    <w:rsid w:val="00431A6C"/>
    <w:rsid w:val="00433EAD"/>
    <w:rsid w:val="00436168"/>
    <w:rsid w:val="00436C06"/>
    <w:rsid w:val="00446C3A"/>
    <w:rsid w:val="00450122"/>
    <w:rsid w:val="0045267F"/>
    <w:rsid w:val="00465587"/>
    <w:rsid w:val="00477455"/>
    <w:rsid w:val="00493ABD"/>
    <w:rsid w:val="004A1F7B"/>
    <w:rsid w:val="004C44D2"/>
    <w:rsid w:val="004D3578"/>
    <w:rsid w:val="004D380D"/>
    <w:rsid w:val="004D73D3"/>
    <w:rsid w:val="004E1DCF"/>
    <w:rsid w:val="004E213A"/>
    <w:rsid w:val="004F2432"/>
    <w:rsid w:val="004F4540"/>
    <w:rsid w:val="004F633B"/>
    <w:rsid w:val="004F73A7"/>
    <w:rsid w:val="005030B4"/>
    <w:rsid w:val="00503171"/>
    <w:rsid w:val="00506C28"/>
    <w:rsid w:val="0051184A"/>
    <w:rsid w:val="00511F84"/>
    <w:rsid w:val="00534DA0"/>
    <w:rsid w:val="00543E6C"/>
    <w:rsid w:val="00547458"/>
    <w:rsid w:val="0055549A"/>
    <w:rsid w:val="00565087"/>
    <w:rsid w:val="0056573F"/>
    <w:rsid w:val="00571279"/>
    <w:rsid w:val="00571DF0"/>
    <w:rsid w:val="0058045B"/>
    <w:rsid w:val="005A13AB"/>
    <w:rsid w:val="005A49C6"/>
    <w:rsid w:val="005B462B"/>
    <w:rsid w:val="005B6D9B"/>
    <w:rsid w:val="005C2D97"/>
    <w:rsid w:val="005C766E"/>
    <w:rsid w:val="005C7CD5"/>
    <w:rsid w:val="005F4216"/>
    <w:rsid w:val="006111A1"/>
    <w:rsid w:val="00611566"/>
    <w:rsid w:val="0062052B"/>
    <w:rsid w:val="0062361F"/>
    <w:rsid w:val="006402B9"/>
    <w:rsid w:val="00646D99"/>
    <w:rsid w:val="0065044C"/>
    <w:rsid w:val="006513E9"/>
    <w:rsid w:val="0065389F"/>
    <w:rsid w:val="00656910"/>
    <w:rsid w:val="006574C0"/>
    <w:rsid w:val="0066304B"/>
    <w:rsid w:val="00664A20"/>
    <w:rsid w:val="00670F9F"/>
    <w:rsid w:val="00686109"/>
    <w:rsid w:val="00694C99"/>
    <w:rsid w:val="00696821"/>
    <w:rsid w:val="006C66D8"/>
    <w:rsid w:val="006D1E24"/>
    <w:rsid w:val="006D35DE"/>
    <w:rsid w:val="006D3B8A"/>
    <w:rsid w:val="006D45EF"/>
    <w:rsid w:val="006D6A69"/>
    <w:rsid w:val="006D7F59"/>
    <w:rsid w:val="006E1057"/>
    <w:rsid w:val="006E1417"/>
    <w:rsid w:val="006E21CB"/>
    <w:rsid w:val="006F6A2C"/>
    <w:rsid w:val="00701AA0"/>
    <w:rsid w:val="007069DC"/>
    <w:rsid w:val="00710201"/>
    <w:rsid w:val="0072073A"/>
    <w:rsid w:val="0072775B"/>
    <w:rsid w:val="007342B5"/>
    <w:rsid w:val="00734A5B"/>
    <w:rsid w:val="0074167F"/>
    <w:rsid w:val="007438C6"/>
    <w:rsid w:val="00744E76"/>
    <w:rsid w:val="00746B24"/>
    <w:rsid w:val="007534FE"/>
    <w:rsid w:val="00757D40"/>
    <w:rsid w:val="0076253E"/>
    <w:rsid w:val="007662B5"/>
    <w:rsid w:val="00770E94"/>
    <w:rsid w:val="00781F0F"/>
    <w:rsid w:val="00782F2B"/>
    <w:rsid w:val="00785F71"/>
    <w:rsid w:val="0078727C"/>
    <w:rsid w:val="0079049D"/>
    <w:rsid w:val="00793DC5"/>
    <w:rsid w:val="00796823"/>
    <w:rsid w:val="00796CE1"/>
    <w:rsid w:val="007A1300"/>
    <w:rsid w:val="007A2E55"/>
    <w:rsid w:val="007B18D8"/>
    <w:rsid w:val="007B4230"/>
    <w:rsid w:val="007C095F"/>
    <w:rsid w:val="007C2DD0"/>
    <w:rsid w:val="007E54B4"/>
    <w:rsid w:val="007F2E08"/>
    <w:rsid w:val="008024FA"/>
    <w:rsid w:val="008028A4"/>
    <w:rsid w:val="00813245"/>
    <w:rsid w:val="00840C07"/>
    <w:rsid w:val="00840DE0"/>
    <w:rsid w:val="00847CD0"/>
    <w:rsid w:val="008607A8"/>
    <w:rsid w:val="0086340F"/>
    <w:rsid w:val="0086354A"/>
    <w:rsid w:val="00872925"/>
    <w:rsid w:val="008768CA"/>
    <w:rsid w:val="0087694C"/>
    <w:rsid w:val="00877EF9"/>
    <w:rsid w:val="00880559"/>
    <w:rsid w:val="0088318D"/>
    <w:rsid w:val="00896D90"/>
    <w:rsid w:val="008A41D5"/>
    <w:rsid w:val="008B5306"/>
    <w:rsid w:val="008B54E8"/>
    <w:rsid w:val="008B6881"/>
    <w:rsid w:val="008C2E2A"/>
    <w:rsid w:val="008C3057"/>
    <w:rsid w:val="008D2E4D"/>
    <w:rsid w:val="008D41AD"/>
    <w:rsid w:val="008E710F"/>
    <w:rsid w:val="008F396F"/>
    <w:rsid w:val="008F3DCD"/>
    <w:rsid w:val="0090271F"/>
    <w:rsid w:val="00902DB9"/>
    <w:rsid w:val="0090466A"/>
    <w:rsid w:val="00913D66"/>
    <w:rsid w:val="00916BBE"/>
    <w:rsid w:val="00923655"/>
    <w:rsid w:val="00924DB8"/>
    <w:rsid w:val="009339CB"/>
    <w:rsid w:val="00936071"/>
    <w:rsid w:val="009376CD"/>
    <w:rsid w:val="00940212"/>
    <w:rsid w:val="0094231E"/>
    <w:rsid w:val="00942AF8"/>
    <w:rsid w:val="00942EC2"/>
    <w:rsid w:val="0095051C"/>
    <w:rsid w:val="00953FDA"/>
    <w:rsid w:val="009603BA"/>
    <w:rsid w:val="00961B32"/>
    <w:rsid w:val="00962509"/>
    <w:rsid w:val="00970DB3"/>
    <w:rsid w:val="00974BB0"/>
    <w:rsid w:val="00975BCD"/>
    <w:rsid w:val="00987265"/>
    <w:rsid w:val="009928A9"/>
    <w:rsid w:val="009A0AF3"/>
    <w:rsid w:val="009B07CD"/>
    <w:rsid w:val="009B08FF"/>
    <w:rsid w:val="009B33D9"/>
    <w:rsid w:val="009B4617"/>
    <w:rsid w:val="009C19E9"/>
    <w:rsid w:val="009D32B7"/>
    <w:rsid w:val="009D4670"/>
    <w:rsid w:val="009D74A6"/>
    <w:rsid w:val="009D7912"/>
    <w:rsid w:val="009E0E87"/>
    <w:rsid w:val="009E1568"/>
    <w:rsid w:val="00A01FB1"/>
    <w:rsid w:val="00A10F02"/>
    <w:rsid w:val="00A16FF4"/>
    <w:rsid w:val="00A17176"/>
    <w:rsid w:val="00A204CA"/>
    <w:rsid w:val="00A209D6"/>
    <w:rsid w:val="00A22738"/>
    <w:rsid w:val="00A27157"/>
    <w:rsid w:val="00A27F8A"/>
    <w:rsid w:val="00A36F5F"/>
    <w:rsid w:val="00A430EC"/>
    <w:rsid w:val="00A45AC0"/>
    <w:rsid w:val="00A52843"/>
    <w:rsid w:val="00A535C2"/>
    <w:rsid w:val="00A53724"/>
    <w:rsid w:val="00A54B2B"/>
    <w:rsid w:val="00A63CA0"/>
    <w:rsid w:val="00A67F3F"/>
    <w:rsid w:val="00A703B6"/>
    <w:rsid w:val="00A710B3"/>
    <w:rsid w:val="00A756C7"/>
    <w:rsid w:val="00A82346"/>
    <w:rsid w:val="00A82A2C"/>
    <w:rsid w:val="00A9671C"/>
    <w:rsid w:val="00AA1287"/>
    <w:rsid w:val="00AA1553"/>
    <w:rsid w:val="00AA465B"/>
    <w:rsid w:val="00AD71E1"/>
    <w:rsid w:val="00AF72C6"/>
    <w:rsid w:val="00B03740"/>
    <w:rsid w:val="00B04692"/>
    <w:rsid w:val="00B05380"/>
    <w:rsid w:val="00B05962"/>
    <w:rsid w:val="00B15449"/>
    <w:rsid w:val="00B16C2F"/>
    <w:rsid w:val="00B24C5F"/>
    <w:rsid w:val="00B27303"/>
    <w:rsid w:val="00B477B0"/>
    <w:rsid w:val="00B47FD1"/>
    <w:rsid w:val="00B516BB"/>
    <w:rsid w:val="00B544EC"/>
    <w:rsid w:val="00B7538C"/>
    <w:rsid w:val="00B81A75"/>
    <w:rsid w:val="00B84DB2"/>
    <w:rsid w:val="00B864CA"/>
    <w:rsid w:val="00B93113"/>
    <w:rsid w:val="00B948A7"/>
    <w:rsid w:val="00B976AB"/>
    <w:rsid w:val="00BB125D"/>
    <w:rsid w:val="00BC3555"/>
    <w:rsid w:val="00BD2A0F"/>
    <w:rsid w:val="00BF1755"/>
    <w:rsid w:val="00C12B51"/>
    <w:rsid w:val="00C1387B"/>
    <w:rsid w:val="00C15442"/>
    <w:rsid w:val="00C16633"/>
    <w:rsid w:val="00C24650"/>
    <w:rsid w:val="00C25465"/>
    <w:rsid w:val="00C3063B"/>
    <w:rsid w:val="00C308F6"/>
    <w:rsid w:val="00C33079"/>
    <w:rsid w:val="00C33BB4"/>
    <w:rsid w:val="00C55A12"/>
    <w:rsid w:val="00C6553E"/>
    <w:rsid w:val="00C663CB"/>
    <w:rsid w:val="00C66C50"/>
    <w:rsid w:val="00C75241"/>
    <w:rsid w:val="00C83A13"/>
    <w:rsid w:val="00C86F10"/>
    <w:rsid w:val="00C9068C"/>
    <w:rsid w:val="00C92967"/>
    <w:rsid w:val="00CA3D0C"/>
    <w:rsid w:val="00CA654B"/>
    <w:rsid w:val="00CA79D2"/>
    <w:rsid w:val="00CB49EC"/>
    <w:rsid w:val="00CB72B8"/>
    <w:rsid w:val="00CC3B37"/>
    <w:rsid w:val="00CC717B"/>
    <w:rsid w:val="00CD0BA8"/>
    <w:rsid w:val="00CD4C7B"/>
    <w:rsid w:val="00CD58FE"/>
    <w:rsid w:val="00CD6F22"/>
    <w:rsid w:val="00CE2C24"/>
    <w:rsid w:val="00D060B0"/>
    <w:rsid w:val="00D136F7"/>
    <w:rsid w:val="00D21865"/>
    <w:rsid w:val="00D31CB6"/>
    <w:rsid w:val="00D334C7"/>
    <w:rsid w:val="00D33BE3"/>
    <w:rsid w:val="00D3792D"/>
    <w:rsid w:val="00D55A19"/>
    <w:rsid w:val="00D55E47"/>
    <w:rsid w:val="00D62E19"/>
    <w:rsid w:val="00D67CD1"/>
    <w:rsid w:val="00D709DF"/>
    <w:rsid w:val="00D73010"/>
    <w:rsid w:val="00D738D6"/>
    <w:rsid w:val="00D80795"/>
    <w:rsid w:val="00D8454D"/>
    <w:rsid w:val="00D85034"/>
    <w:rsid w:val="00D854BE"/>
    <w:rsid w:val="00D87E00"/>
    <w:rsid w:val="00D9134D"/>
    <w:rsid w:val="00D91425"/>
    <w:rsid w:val="00D92ABC"/>
    <w:rsid w:val="00D96D11"/>
    <w:rsid w:val="00DA3B55"/>
    <w:rsid w:val="00DA7A03"/>
    <w:rsid w:val="00DB0DB8"/>
    <w:rsid w:val="00DB1818"/>
    <w:rsid w:val="00DB1CE4"/>
    <w:rsid w:val="00DC309B"/>
    <w:rsid w:val="00DC4DA2"/>
    <w:rsid w:val="00DC5261"/>
    <w:rsid w:val="00DE25D2"/>
    <w:rsid w:val="00DE2752"/>
    <w:rsid w:val="00DE76DD"/>
    <w:rsid w:val="00DE77BD"/>
    <w:rsid w:val="00DF7C20"/>
    <w:rsid w:val="00E011EB"/>
    <w:rsid w:val="00E028F6"/>
    <w:rsid w:val="00E11804"/>
    <w:rsid w:val="00E13AEF"/>
    <w:rsid w:val="00E2036A"/>
    <w:rsid w:val="00E23684"/>
    <w:rsid w:val="00E42E11"/>
    <w:rsid w:val="00E46C08"/>
    <w:rsid w:val="00E471CF"/>
    <w:rsid w:val="00E62835"/>
    <w:rsid w:val="00E70EA3"/>
    <w:rsid w:val="00E719C4"/>
    <w:rsid w:val="00E72289"/>
    <w:rsid w:val="00E77645"/>
    <w:rsid w:val="00E83697"/>
    <w:rsid w:val="00E859B6"/>
    <w:rsid w:val="00EA3342"/>
    <w:rsid w:val="00EA66C9"/>
    <w:rsid w:val="00EA6D34"/>
    <w:rsid w:val="00EB5D32"/>
    <w:rsid w:val="00EC23D8"/>
    <w:rsid w:val="00EC4A25"/>
    <w:rsid w:val="00EC6CF1"/>
    <w:rsid w:val="00EE44AF"/>
    <w:rsid w:val="00EF3B43"/>
    <w:rsid w:val="00EF612C"/>
    <w:rsid w:val="00F025A2"/>
    <w:rsid w:val="00F036E9"/>
    <w:rsid w:val="00F07388"/>
    <w:rsid w:val="00F179AF"/>
    <w:rsid w:val="00F2026E"/>
    <w:rsid w:val="00F2210A"/>
    <w:rsid w:val="00F266F3"/>
    <w:rsid w:val="00F31372"/>
    <w:rsid w:val="00F34809"/>
    <w:rsid w:val="00F366BD"/>
    <w:rsid w:val="00F37743"/>
    <w:rsid w:val="00F37A8B"/>
    <w:rsid w:val="00F4482A"/>
    <w:rsid w:val="00F44B86"/>
    <w:rsid w:val="00F45F5D"/>
    <w:rsid w:val="00F52821"/>
    <w:rsid w:val="00F54A3D"/>
    <w:rsid w:val="00F54CB0"/>
    <w:rsid w:val="00F579CD"/>
    <w:rsid w:val="00F653B8"/>
    <w:rsid w:val="00F710EB"/>
    <w:rsid w:val="00F71B10"/>
    <w:rsid w:val="00F71B89"/>
    <w:rsid w:val="00F71D95"/>
    <w:rsid w:val="00F7353C"/>
    <w:rsid w:val="00F76F8F"/>
    <w:rsid w:val="00F84501"/>
    <w:rsid w:val="00F87257"/>
    <w:rsid w:val="00F907F2"/>
    <w:rsid w:val="00F941DF"/>
    <w:rsid w:val="00FA1266"/>
    <w:rsid w:val="00FA26F3"/>
    <w:rsid w:val="00FB36FA"/>
    <w:rsid w:val="00FC1192"/>
    <w:rsid w:val="00FE084B"/>
    <w:rsid w:val="00FE106D"/>
    <w:rsid w:val="00FE251B"/>
    <w:rsid w:val="00FE4C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8552435-C05E-419E-9F1F-B3DE29E1E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basedOn w:val="DefaultParagraphFont"/>
    <w:link w:val="ListParagraph"/>
    <w:uiPriority w:val="34"/>
    <w:locked/>
    <w:rsid w:val="006D3B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5AIRPNAIUNRU-859666464-13329</_dlc_DocId>
    <_dlc_DocIdUrl xmlns="71c5aaf6-e6ce-465b-b873-5148d2a4c105">
      <Url>https://nokia.sharepoint.com/sites/c5g/e2earch/_layouts/15/DocIdRedir.aspx?ID=5AIRPNAIUNRU-859666464-13329</Url>
      <Description>5AIRPNAIUNRU-859666464-13329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schemas.microsoft.com/office/2006/metadata/properties"/>
    <ds:schemaRef ds:uri="83f22d2f-d16e-4be6-ad4f-29fa0b067c3c"/>
    <ds:schemaRef ds:uri="3b34c8f0-1ef5-4d1e-bb66-517ce7fe7356"/>
    <ds:schemaRef ds:uri="http://schemas.microsoft.com/office/2006/documentManagement/types"/>
    <ds:schemaRef ds:uri="http://purl.org/dc/elements/1.1/"/>
    <ds:schemaRef ds:uri="http://purl.org/dc/dcmitype/"/>
    <ds:schemaRef ds:uri="a3840f4f-04be-43d1-b2ef-6ff1382503c7"/>
    <ds:schemaRef ds:uri="71c5aaf6-e6ce-465b-b873-5148d2a4c105"/>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5</Pages>
  <Words>2955</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319</cp:revision>
  <dcterms:created xsi:type="dcterms:W3CDTF">2016-08-12T22:53:00Z</dcterms:created>
  <dcterms:modified xsi:type="dcterms:W3CDTF">2023-02-17T07:42:00Z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f5f46200-825d-4756-a734-1cba951633ee</vt:lpwstr>
  </property>
</Properties>
</file>